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3E0A707">
      <w:pPr>
        <w:keepNext w:val="0"/>
        <w:keepLines w:val="0"/>
        <w:pageBreakBefore w:val="0"/>
        <w:kinsoku/>
        <w:wordWrap/>
        <w:overflowPunct/>
        <w:topLinePunct w:val="0"/>
        <w:autoSpaceDE/>
        <w:autoSpaceDN/>
        <w:bidi w:val="0"/>
        <w:adjustRightInd/>
        <w:snapToGrid/>
        <w:spacing w:line="500" w:lineRule="exact"/>
        <w:jc w:val="center"/>
        <w:rPr>
          <w:rFonts w:hint="default" w:ascii="Times New Roman" w:hAnsi="Times New Roman" w:eastAsia="华文中宋" w:cs="Times New Roman"/>
          <w:b/>
          <w:kern w:val="0"/>
          <w:sz w:val="52"/>
          <w:szCs w:val="52"/>
          <w:highlight w:val="none"/>
        </w:rPr>
      </w:pPr>
    </w:p>
    <w:p w14:paraId="4C9D42AD">
      <w:pPr>
        <w:keepNext w:val="0"/>
        <w:keepLines w:val="0"/>
        <w:pageBreakBefore w:val="0"/>
        <w:kinsoku/>
        <w:wordWrap/>
        <w:overflowPunct/>
        <w:topLinePunct w:val="0"/>
        <w:autoSpaceDE/>
        <w:autoSpaceDN/>
        <w:bidi w:val="0"/>
        <w:adjustRightInd/>
        <w:snapToGrid/>
        <w:spacing w:line="500" w:lineRule="exact"/>
        <w:rPr>
          <w:rFonts w:hint="default" w:ascii="Times New Roman" w:hAnsi="Times New Roman" w:eastAsia="华文中宋" w:cs="Times New Roman"/>
          <w:b/>
          <w:kern w:val="0"/>
          <w:sz w:val="52"/>
          <w:szCs w:val="52"/>
          <w:highlight w:val="none"/>
        </w:rPr>
      </w:pPr>
    </w:p>
    <w:p w14:paraId="089A24D1">
      <w:pPr>
        <w:keepNext w:val="0"/>
        <w:keepLines w:val="0"/>
        <w:pageBreakBefore w:val="0"/>
        <w:kinsoku/>
        <w:wordWrap/>
        <w:overflowPunct/>
        <w:topLinePunct w:val="0"/>
        <w:autoSpaceDE/>
        <w:autoSpaceDN/>
        <w:bidi w:val="0"/>
        <w:adjustRightInd/>
        <w:snapToGrid/>
        <w:spacing w:line="500" w:lineRule="exact"/>
        <w:jc w:val="center"/>
        <w:rPr>
          <w:rFonts w:hint="default" w:ascii="Times New Roman" w:hAnsi="Times New Roman" w:eastAsia="华文中宋" w:cs="Times New Roman"/>
          <w:b/>
          <w:kern w:val="0"/>
          <w:sz w:val="52"/>
          <w:szCs w:val="52"/>
          <w:highlight w:val="none"/>
        </w:rPr>
      </w:pPr>
    </w:p>
    <w:p w14:paraId="726D52F5">
      <w:pPr>
        <w:keepNext w:val="0"/>
        <w:keepLines w:val="0"/>
        <w:pageBreakBefore w:val="0"/>
        <w:kinsoku/>
        <w:wordWrap/>
        <w:overflowPunct/>
        <w:topLinePunct w:val="0"/>
        <w:autoSpaceDE/>
        <w:autoSpaceDN/>
        <w:bidi w:val="0"/>
        <w:adjustRightInd/>
        <w:snapToGrid/>
        <w:spacing w:line="500" w:lineRule="exact"/>
        <w:jc w:val="center"/>
        <w:rPr>
          <w:rFonts w:hint="default" w:ascii="Times New Roman" w:hAnsi="Times New Roman" w:eastAsia="华文中宋" w:cs="Times New Roman"/>
          <w:b/>
          <w:kern w:val="0"/>
          <w:sz w:val="52"/>
          <w:szCs w:val="52"/>
          <w:highlight w:val="none"/>
        </w:rPr>
      </w:pPr>
    </w:p>
    <w:p w14:paraId="6BBC11D7">
      <w:pPr>
        <w:keepNext w:val="0"/>
        <w:keepLines w:val="0"/>
        <w:pageBreakBefore w:val="0"/>
        <w:kinsoku/>
        <w:wordWrap/>
        <w:overflowPunct/>
        <w:topLinePunct w:val="0"/>
        <w:autoSpaceDE/>
        <w:autoSpaceDN/>
        <w:bidi w:val="0"/>
        <w:adjustRightInd/>
        <w:snapToGrid/>
        <w:spacing w:line="500" w:lineRule="exact"/>
        <w:jc w:val="center"/>
        <w:rPr>
          <w:rFonts w:hint="default" w:ascii="Times New Roman" w:hAnsi="Times New Roman" w:eastAsia="方正小标宋_GBK" w:cs="Times New Roman"/>
          <w:kern w:val="0"/>
          <w:sz w:val="48"/>
          <w:szCs w:val="48"/>
          <w:highlight w:val="none"/>
        </w:rPr>
      </w:pPr>
      <w:r>
        <w:rPr>
          <w:rFonts w:hint="default" w:ascii="Times New Roman" w:hAnsi="Times New Roman" w:eastAsia="方正小标宋_GBK" w:cs="Times New Roman"/>
          <w:kern w:val="0"/>
          <w:sz w:val="48"/>
          <w:szCs w:val="48"/>
          <w:highlight w:val="none"/>
        </w:rPr>
        <w:t>昌州财建（2023）135号关于提前下达2024年中央林业草原改革发展资金预算的投资项目支出绩效评价报告</w:t>
      </w:r>
    </w:p>
    <w:p w14:paraId="5455F2CE">
      <w:pPr>
        <w:keepNext w:val="0"/>
        <w:keepLines w:val="0"/>
        <w:pageBreakBefore w:val="0"/>
        <w:kinsoku/>
        <w:wordWrap/>
        <w:overflowPunct/>
        <w:topLinePunct w:val="0"/>
        <w:autoSpaceDE/>
        <w:autoSpaceDN/>
        <w:bidi w:val="0"/>
        <w:adjustRightInd/>
        <w:snapToGrid/>
        <w:spacing w:line="500" w:lineRule="exact"/>
        <w:jc w:val="center"/>
        <w:rPr>
          <w:rFonts w:hint="default" w:ascii="Times New Roman" w:hAnsi="Times New Roman" w:eastAsia="华文中宋" w:cs="Times New Roman"/>
          <w:b/>
          <w:kern w:val="0"/>
          <w:sz w:val="52"/>
          <w:szCs w:val="52"/>
          <w:highlight w:val="none"/>
        </w:rPr>
      </w:pPr>
    </w:p>
    <w:p w14:paraId="268342EA">
      <w:pPr>
        <w:keepNext w:val="0"/>
        <w:keepLines w:val="0"/>
        <w:pageBreakBefore w:val="0"/>
        <w:kinsoku/>
        <w:wordWrap/>
        <w:overflowPunct/>
        <w:topLinePunct w:val="0"/>
        <w:autoSpaceDE/>
        <w:autoSpaceDN/>
        <w:bidi w:val="0"/>
        <w:adjustRightInd/>
        <w:snapToGrid/>
        <w:spacing w:line="500" w:lineRule="exact"/>
        <w:jc w:val="center"/>
        <w:rPr>
          <w:rFonts w:hint="default" w:ascii="Times New Roman" w:hAnsi="Times New Roman" w:eastAsia="仿宋_GB2312" w:cs="Times New Roman"/>
          <w:kern w:val="0"/>
          <w:sz w:val="36"/>
          <w:szCs w:val="36"/>
          <w:highlight w:val="none"/>
        </w:rPr>
      </w:pPr>
      <w:r>
        <w:rPr>
          <w:rFonts w:hint="default" w:ascii="Times New Roman" w:hAnsi="Times New Roman" w:eastAsia="仿宋_GB2312" w:cs="Times New Roman"/>
          <w:kern w:val="0"/>
          <w:sz w:val="36"/>
          <w:szCs w:val="36"/>
          <w:highlight w:val="none"/>
        </w:rPr>
        <w:t>（202</w:t>
      </w:r>
      <w:r>
        <w:rPr>
          <w:rFonts w:hint="default" w:ascii="Times New Roman" w:hAnsi="Times New Roman" w:eastAsia="仿宋_GB2312" w:cs="Times New Roman"/>
          <w:kern w:val="0"/>
          <w:sz w:val="36"/>
          <w:szCs w:val="36"/>
          <w:highlight w:val="none"/>
          <w:lang w:val="en-US" w:eastAsia="zh-CN"/>
        </w:rPr>
        <w:t>4</w:t>
      </w:r>
      <w:r>
        <w:rPr>
          <w:rFonts w:hint="default" w:ascii="Times New Roman" w:hAnsi="Times New Roman" w:eastAsia="仿宋_GB2312" w:cs="Times New Roman"/>
          <w:kern w:val="0"/>
          <w:sz w:val="36"/>
          <w:szCs w:val="36"/>
          <w:highlight w:val="none"/>
        </w:rPr>
        <w:t>年度）</w:t>
      </w:r>
    </w:p>
    <w:p w14:paraId="1CEB1AD2">
      <w:pPr>
        <w:keepNext w:val="0"/>
        <w:keepLines w:val="0"/>
        <w:pageBreakBefore w:val="0"/>
        <w:kinsoku/>
        <w:wordWrap w:val="0"/>
        <w:overflowPunct/>
        <w:topLinePunct/>
        <w:autoSpaceDE/>
        <w:autoSpaceDN/>
        <w:bidi w:val="0"/>
        <w:adjustRightInd/>
        <w:snapToGrid/>
        <w:spacing w:line="560" w:lineRule="exact"/>
        <w:jc w:val="center"/>
        <w:textAlignment w:val="auto"/>
        <w:rPr>
          <w:rFonts w:hint="default" w:ascii="Times New Roman" w:hAnsi="Times New Roman" w:eastAsia="仿宋_GB2312" w:cs="Times New Roman"/>
          <w:kern w:val="0"/>
          <w:sz w:val="30"/>
          <w:szCs w:val="30"/>
          <w:highlight w:val="none"/>
        </w:rPr>
      </w:pPr>
    </w:p>
    <w:p w14:paraId="369344AA">
      <w:pPr>
        <w:keepNext w:val="0"/>
        <w:keepLines w:val="0"/>
        <w:pageBreakBefore w:val="0"/>
        <w:kinsoku/>
        <w:wordWrap w:val="0"/>
        <w:overflowPunct/>
        <w:topLinePunct/>
        <w:autoSpaceDE/>
        <w:autoSpaceDN/>
        <w:bidi w:val="0"/>
        <w:adjustRightInd/>
        <w:snapToGrid/>
        <w:spacing w:line="560" w:lineRule="exact"/>
        <w:jc w:val="center"/>
        <w:textAlignment w:val="auto"/>
        <w:rPr>
          <w:rFonts w:hint="default" w:ascii="Times New Roman" w:hAnsi="Times New Roman" w:eastAsia="仿宋_GB2312" w:cs="Times New Roman"/>
          <w:kern w:val="0"/>
          <w:sz w:val="30"/>
          <w:szCs w:val="30"/>
          <w:highlight w:val="none"/>
        </w:rPr>
      </w:pPr>
    </w:p>
    <w:p w14:paraId="788B41B9">
      <w:pPr>
        <w:keepNext w:val="0"/>
        <w:keepLines w:val="0"/>
        <w:pageBreakBefore w:val="0"/>
        <w:kinsoku/>
        <w:wordWrap w:val="0"/>
        <w:overflowPunct/>
        <w:topLinePunct/>
        <w:autoSpaceDE/>
        <w:autoSpaceDN/>
        <w:bidi w:val="0"/>
        <w:adjustRightInd/>
        <w:snapToGrid/>
        <w:spacing w:line="560" w:lineRule="exact"/>
        <w:jc w:val="center"/>
        <w:textAlignment w:val="auto"/>
        <w:rPr>
          <w:rFonts w:hint="default" w:ascii="Times New Roman" w:hAnsi="Times New Roman" w:eastAsia="仿宋_GB2312" w:cs="Times New Roman"/>
          <w:kern w:val="0"/>
          <w:sz w:val="30"/>
          <w:szCs w:val="30"/>
          <w:highlight w:val="none"/>
        </w:rPr>
      </w:pPr>
    </w:p>
    <w:p w14:paraId="1169BD63">
      <w:pPr>
        <w:pStyle w:val="10"/>
        <w:keepNext w:val="0"/>
        <w:keepLines w:val="0"/>
        <w:pageBreakBefore w:val="0"/>
        <w:kinsoku/>
        <w:wordWrap w:val="0"/>
        <w:overflowPunct/>
        <w:topLinePunct/>
        <w:autoSpaceDE/>
        <w:autoSpaceDN/>
        <w:bidi w:val="0"/>
        <w:adjustRightInd/>
        <w:snapToGrid/>
        <w:spacing w:line="560" w:lineRule="exact"/>
        <w:textAlignment w:val="auto"/>
        <w:rPr>
          <w:rFonts w:hint="default" w:ascii="Times New Roman" w:hAnsi="Times New Roman" w:cs="Times New Roman"/>
          <w:highlight w:val="none"/>
        </w:rPr>
      </w:pPr>
    </w:p>
    <w:p w14:paraId="32268CA6">
      <w:pPr>
        <w:keepNext w:val="0"/>
        <w:keepLines w:val="0"/>
        <w:pageBreakBefore w:val="0"/>
        <w:kinsoku/>
        <w:wordWrap w:val="0"/>
        <w:overflowPunct/>
        <w:topLinePunct/>
        <w:autoSpaceDE/>
        <w:autoSpaceDN/>
        <w:bidi w:val="0"/>
        <w:adjustRightInd/>
        <w:snapToGrid/>
        <w:spacing w:line="560" w:lineRule="exact"/>
        <w:jc w:val="center"/>
        <w:textAlignment w:val="auto"/>
        <w:rPr>
          <w:rFonts w:hint="default" w:ascii="Times New Roman" w:hAnsi="Times New Roman" w:eastAsia="仿宋_GB2312" w:cs="Times New Roman"/>
          <w:kern w:val="0"/>
          <w:sz w:val="30"/>
          <w:szCs w:val="30"/>
          <w:highlight w:val="none"/>
        </w:rPr>
      </w:pPr>
    </w:p>
    <w:p w14:paraId="096F33AD">
      <w:pPr>
        <w:keepNext w:val="0"/>
        <w:keepLines w:val="0"/>
        <w:pageBreakBefore w:val="0"/>
        <w:kinsoku/>
        <w:wordWrap w:val="0"/>
        <w:overflowPunct/>
        <w:topLinePunct/>
        <w:autoSpaceDE/>
        <w:autoSpaceDN/>
        <w:bidi w:val="0"/>
        <w:adjustRightInd/>
        <w:snapToGrid/>
        <w:spacing w:line="560" w:lineRule="exact"/>
        <w:textAlignment w:val="auto"/>
        <w:rPr>
          <w:rFonts w:hint="default" w:ascii="Times New Roman" w:hAnsi="Times New Roman" w:eastAsia="仿宋_GB2312" w:cs="Times New Roman"/>
          <w:kern w:val="0"/>
          <w:sz w:val="30"/>
          <w:szCs w:val="30"/>
          <w:highlight w:val="none"/>
        </w:rPr>
      </w:pPr>
    </w:p>
    <w:p w14:paraId="309B779D">
      <w:pPr>
        <w:keepNext w:val="0"/>
        <w:keepLines w:val="0"/>
        <w:pageBreakBefore w:val="0"/>
        <w:kinsoku/>
        <w:wordWrap w:val="0"/>
        <w:overflowPunct/>
        <w:topLinePunct/>
        <w:autoSpaceDE/>
        <w:autoSpaceDN/>
        <w:bidi w:val="0"/>
        <w:adjustRightInd/>
        <w:snapToGrid/>
        <w:spacing w:line="560" w:lineRule="exact"/>
        <w:textAlignment w:val="auto"/>
        <w:rPr>
          <w:rFonts w:hint="default" w:ascii="Times New Roman" w:hAnsi="Times New Roman" w:eastAsia="仿宋_GB2312" w:cs="Times New Roman"/>
          <w:kern w:val="0"/>
          <w:sz w:val="30"/>
          <w:szCs w:val="30"/>
          <w:highlight w:val="none"/>
        </w:rPr>
      </w:pPr>
    </w:p>
    <w:p w14:paraId="61A30062">
      <w:pPr>
        <w:keepNext w:val="0"/>
        <w:keepLines w:val="0"/>
        <w:pageBreakBefore w:val="0"/>
        <w:kinsoku/>
        <w:wordWrap w:val="0"/>
        <w:overflowPunct/>
        <w:topLinePunct/>
        <w:autoSpaceDE/>
        <w:autoSpaceDN/>
        <w:bidi w:val="0"/>
        <w:adjustRightInd/>
        <w:snapToGrid/>
        <w:spacing w:line="560" w:lineRule="exact"/>
        <w:ind w:firstLine="1440" w:firstLineChars="400"/>
        <w:jc w:val="left"/>
        <w:textAlignment w:val="auto"/>
        <w:rPr>
          <w:rFonts w:hint="default" w:ascii="Times New Roman" w:hAnsi="Times New Roman" w:eastAsia="仿宋_GB2312" w:cs="Times New Roman"/>
          <w:kern w:val="0"/>
          <w:sz w:val="36"/>
          <w:szCs w:val="36"/>
          <w:highlight w:val="none"/>
        </w:rPr>
      </w:pPr>
      <w:r>
        <w:rPr>
          <w:rFonts w:hint="default" w:ascii="Times New Roman" w:hAnsi="Times New Roman" w:eastAsia="仿宋_GB2312" w:cs="Times New Roman"/>
          <w:kern w:val="0"/>
          <w:sz w:val="36"/>
          <w:szCs w:val="36"/>
          <w:highlight w:val="none"/>
        </w:rPr>
        <w:t>项目名称：昌州财建（2023）135号关于提前下</w:t>
      </w:r>
    </w:p>
    <w:p w14:paraId="4FAC4248">
      <w:pPr>
        <w:keepNext w:val="0"/>
        <w:keepLines w:val="0"/>
        <w:pageBreakBefore w:val="0"/>
        <w:kinsoku/>
        <w:wordWrap w:val="0"/>
        <w:overflowPunct/>
        <w:topLinePunct/>
        <w:autoSpaceDE/>
        <w:autoSpaceDN/>
        <w:bidi w:val="0"/>
        <w:adjustRightInd/>
        <w:snapToGrid/>
        <w:spacing w:line="560" w:lineRule="exact"/>
        <w:ind w:firstLine="3240" w:firstLineChars="900"/>
        <w:jc w:val="left"/>
        <w:textAlignment w:val="auto"/>
        <w:rPr>
          <w:rFonts w:hint="default" w:ascii="Times New Roman" w:hAnsi="Times New Roman" w:eastAsia="仿宋_GB2312" w:cs="Times New Roman"/>
          <w:kern w:val="0"/>
          <w:sz w:val="36"/>
          <w:szCs w:val="36"/>
          <w:highlight w:val="none"/>
        </w:rPr>
      </w:pPr>
      <w:r>
        <w:rPr>
          <w:rFonts w:hint="default" w:ascii="Times New Roman" w:hAnsi="Times New Roman" w:eastAsia="仿宋_GB2312" w:cs="Times New Roman"/>
          <w:kern w:val="0"/>
          <w:sz w:val="36"/>
          <w:szCs w:val="36"/>
          <w:highlight w:val="none"/>
        </w:rPr>
        <w:t>达2024年中央林业草原改革发展资</w:t>
      </w:r>
    </w:p>
    <w:p w14:paraId="59F6E0E5">
      <w:pPr>
        <w:keepNext w:val="0"/>
        <w:keepLines w:val="0"/>
        <w:pageBreakBefore w:val="0"/>
        <w:kinsoku/>
        <w:wordWrap w:val="0"/>
        <w:overflowPunct/>
        <w:topLinePunct/>
        <w:autoSpaceDE/>
        <w:autoSpaceDN/>
        <w:bidi w:val="0"/>
        <w:adjustRightInd/>
        <w:snapToGrid/>
        <w:spacing w:line="560" w:lineRule="exact"/>
        <w:ind w:firstLine="3240" w:firstLineChars="900"/>
        <w:jc w:val="left"/>
        <w:textAlignment w:val="auto"/>
        <w:rPr>
          <w:rFonts w:hint="default" w:ascii="Times New Roman" w:hAnsi="Times New Roman" w:eastAsia="仿宋_GB2312" w:cs="Times New Roman"/>
          <w:kern w:val="0"/>
          <w:sz w:val="36"/>
          <w:szCs w:val="36"/>
          <w:highlight w:val="none"/>
        </w:rPr>
      </w:pPr>
      <w:r>
        <w:rPr>
          <w:rFonts w:hint="default" w:ascii="Times New Roman" w:hAnsi="Times New Roman" w:eastAsia="仿宋_GB2312" w:cs="Times New Roman"/>
          <w:kern w:val="0"/>
          <w:sz w:val="36"/>
          <w:szCs w:val="36"/>
          <w:highlight w:val="none"/>
        </w:rPr>
        <w:t>金预算的投资</w:t>
      </w:r>
    </w:p>
    <w:p w14:paraId="1849CB77">
      <w:pPr>
        <w:keepNext w:val="0"/>
        <w:keepLines w:val="0"/>
        <w:pageBreakBefore w:val="0"/>
        <w:kinsoku/>
        <w:wordWrap w:val="0"/>
        <w:overflowPunct/>
        <w:topLinePunct/>
        <w:autoSpaceDE/>
        <w:autoSpaceDN/>
        <w:bidi w:val="0"/>
        <w:adjustRightInd/>
        <w:snapToGrid/>
        <w:spacing w:line="560" w:lineRule="exact"/>
        <w:ind w:firstLine="1440" w:firstLineChars="400"/>
        <w:jc w:val="left"/>
        <w:textAlignment w:val="auto"/>
        <w:rPr>
          <w:rFonts w:hint="default" w:eastAsia="仿宋_GB2312" w:cs="Times New Roman"/>
          <w:kern w:val="0"/>
          <w:sz w:val="36"/>
          <w:szCs w:val="36"/>
          <w:highlight w:val="none"/>
          <w:lang w:val="en-US" w:eastAsia="zh-CN"/>
        </w:rPr>
      </w:pPr>
      <w:r>
        <w:rPr>
          <w:rFonts w:hint="default" w:ascii="Times New Roman" w:hAnsi="Times New Roman" w:eastAsia="仿宋_GB2312" w:cs="Times New Roman"/>
          <w:kern w:val="0"/>
          <w:sz w:val="36"/>
          <w:szCs w:val="36"/>
          <w:highlight w:val="none"/>
        </w:rPr>
        <w:t>实施单位（公章）：</w:t>
      </w:r>
      <w:r>
        <w:rPr>
          <w:rFonts w:hint="eastAsia" w:eastAsia="仿宋_GB2312" w:cs="Times New Roman"/>
          <w:kern w:val="0"/>
          <w:sz w:val="36"/>
          <w:szCs w:val="36"/>
          <w:highlight w:val="none"/>
          <w:lang w:val="en-US" w:eastAsia="zh-CN"/>
        </w:rPr>
        <w:t>奇台县林业和草原局</w:t>
      </w:r>
    </w:p>
    <w:p w14:paraId="48F723A2">
      <w:pPr>
        <w:keepNext w:val="0"/>
        <w:keepLines w:val="0"/>
        <w:pageBreakBefore w:val="0"/>
        <w:kinsoku/>
        <w:wordWrap w:val="0"/>
        <w:overflowPunct/>
        <w:topLinePunct/>
        <w:autoSpaceDE/>
        <w:autoSpaceDN/>
        <w:bidi w:val="0"/>
        <w:adjustRightInd/>
        <w:snapToGrid/>
        <w:spacing w:line="560" w:lineRule="exact"/>
        <w:ind w:firstLine="1440" w:firstLineChars="400"/>
        <w:jc w:val="left"/>
        <w:textAlignment w:val="auto"/>
        <w:rPr>
          <w:rFonts w:hint="eastAsia" w:eastAsia="仿宋_GB2312" w:cs="Times New Roman"/>
          <w:kern w:val="0"/>
          <w:sz w:val="36"/>
          <w:szCs w:val="36"/>
          <w:highlight w:val="none"/>
          <w:lang w:val="en-US" w:eastAsia="zh-CN"/>
        </w:rPr>
      </w:pPr>
      <w:r>
        <w:rPr>
          <w:rFonts w:hint="default" w:ascii="Times New Roman" w:hAnsi="Times New Roman" w:eastAsia="仿宋_GB2312" w:cs="Times New Roman"/>
          <w:kern w:val="0"/>
          <w:sz w:val="36"/>
          <w:szCs w:val="36"/>
          <w:highlight w:val="none"/>
        </w:rPr>
        <w:t>主管部门（公章）：</w:t>
      </w:r>
      <w:r>
        <w:rPr>
          <w:rFonts w:hint="eastAsia" w:eastAsia="仿宋_GB2312" w:cs="Times New Roman"/>
          <w:kern w:val="0"/>
          <w:sz w:val="36"/>
          <w:szCs w:val="36"/>
          <w:highlight w:val="none"/>
          <w:lang w:val="en-US" w:eastAsia="zh-CN"/>
        </w:rPr>
        <w:t>奇台县人民政府</w:t>
      </w:r>
    </w:p>
    <w:p w14:paraId="24A366DD">
      <w:pPr>
        <w:keepNext w:val="0"/>
        <w:keepLines w:val="0"/>
        <w:pageBreakBefore w:val="0"/>
        <w:kinsoku/>
        <w:wordWrap w:val="0"/>
        <w:overflowPunct/>
        <w:topLinePunct/>
        <w:autoSpaceDE/>
        <w:autoSpaceDN/>
        <w:bidi w:val="0"/>
        <w:adjustRightInd/>
        <w:snapToGrid/>
        <w:spacing w:line="560" w:lineRule="exact"/>
        <w:ind w:firstLine="1440" w:firstLineChars="400"/>
        <w:jc w:val="left"/>
        <w:textAlignment w:val="auto"/>
        <w:rPr>
          <w:rFonts w:hint="default" w:ascii="Times New Roman" w:hAnsi="Times New Roman" w:eastAsia="仿宋_GB2312" w:cs="Times New Roman"/>
          <w:kern w:val="0"/>
          <w:sz w:val="36"/>
          <w:szCs w:val="36"/>
          <w:highlight w:val="none"/>
          <w:lang w:val="en-US" w:eastAsia="zh-CN"/>
        </w:rPr>
      </w:pPr>
      <w:r>
        <w:rPr>
          <w:rFonts w:hint="default" w:ascii="Times New Roman" w:hAnsi="Times New Roman" w:eastAsia="仿宋_GB2312" w:cs="Times New Roman"/>
          <w:kern w:val="0"/>
          <w:sz w:val="36"/>
          <w:szCs w:val="36"/>
          <w:highlight w:val="none"/>
        </w:rPr>
        <w:t>项目负责人（签章）：</w:t>
      </w:r>
      <w:r>
        <w:rPr>
          <w:rFonts w:hint="eastAsia" w:eastAsia="仿宋_GB2312" w:cs="Times New Roman"/>
          <w:kern w:val="0"/>
          <w:sz w:val="36"/>
          <w:szCs w:val="36"/>
          <w:highlight w:val="none"/>
          <w:lang w:val="en-US" w:eastAsia="zh-CN"/>
        </w:rPr>
        <w:t>张小斌</w:t>
      </w:r>
    </w:p>
    <w:p w14:paraId="0056C91C">
      <w:pPr>
        <w:keepNext w:val="0"/>
        <w:keepLines w:val="0"/>
        <w:pageBreakBefore w:val="0"/>
        <w:kinsoku/>
        <w:wordWrap w:val="0"/>
        <w:overflowPunct/>
        <w:topLinePunct/>
        <w:autoSpaceDE/>
        <w:autoSpaceDN/>
        <w:bidi w:val="0"/>
        <w:adjustRightInd/>
        <w:snapToGrid/>
        <w:spacing w:line="560" w:lineRule="exact"/>
        <w:ind w:firstLine="1440" w:firstLineChars="400"/>
        <w:jc w:val="left"/>
        <w:textAlignment w:val="auto"/>
        <w:rPr>
          <w:rFonts w:hint="default" w:ascii="Times New Roman" w:hAnsi="Times New Roman" w:eastAsia="仿宋_GB2312" w:cs="Times New Roman"/>
          <w:kern w:val="0"/>
          <w:sz w:val="36"/>
          <w:szCs w:val="36"/>
          <w:highlight w:val="none"/>
        </w:rPr>
      </w:pPr>
      <w:r>
        <w:rPr>
          <w:rFonts w:hint="default" w:ascii="Times New Roman" w:hAnsi="Times New Roman" w:eastAsia="仿宋_GB2312" w:cs="Times New Roman"/>
          <w:kern w:val="0"/>
          <w:sz w:val="36"/>
          <w:szCs w:val="36"/>
          <w:highlight w:val="none"/>
        </w:rPr>
        <w:t>填报时间：</w:t>
      </w:r>
      <w:r>
        <w:rPr>
          <w:rFonts w:hint="eastAsia" w:eastAsia="仿宋_GB2312" w:cs="Times New Roman"/>
          <w:kern w:val="0"/>
          <w:sz w:val="36"/>
          <w:szCs w:val="36"/>
          <w:highlight w:val="none"/>
          <w:lang w:val="en-US" w:eastAsia="zh-CN"/>
        </w:rPr>
        <w:t>2025</w:t>
      </w:r>
      <w:r>
        <w:rPr>
          <w:rFonts w:hint="default" w:ascii="Times New Roman" w:hAnsi="Times New Roman" w:eastAsia="仿宋_GB2312" w:cs="Times New Roman"/>
          <w:kern w:val="0"/>
          <w:sz w:val="36"/>
          <w:szCs w:val="36"/>
          <w:highlight w:val="none"/>
        </w:rPr>
        <w:t>年</w:t>
      </w:r>
      <w:r>
        <w:rPr>
          <w:rFonts w:hint="eastAsia" w:eastAsia="仿宋_GB2312" w:cs="Times New Roman"/>
          <w:kern w:val="0"/>
          <w:sz w:val="36"/>
          <w:szCs w:val="36"/>
          <w:highlight w:val="none"/>
          <w:lang w:val="en-US" w:eastAsia="zh-CN"/>
        </w:rPr>
        <w:t>4</w:t>
      </w:r>
      <w:r>
        <w:rPr>
          <w:rFonts w:hint="default" w:ascii="Times New Roman" w:hAnsi="Times New Roman" w:eastAsia="仿宋_GB2312" w:cs="Times New Roman"/>
          <w:kern w:val="0"/>
          <w:sz w:val="36"/>
          <w:szCs w:val="36"/>
          <w:highlight w:val="none"/>
        </w:rPr>
        <w:t>月</w:t>
      </w:r>
      <w:r>
        <w:rPr>
          <w:rFonts w:hint="eastAsia" w:eastAsia="仿宋_GB2312" w:cs="Times New Roman"/>
          <w:kern w:val="0"/>
          <w:sz w:val="36"/>
          <w:szCs w:val="36"/>
          <w:highlight w:val="none"/>
          <w:lang w:val="en-US" w:eastAsia="zh-CN"/>
        </w:rPr>
        <w:t>27</w:t>
      </w:r>
      <w:r>
        <w:rPr>
          <w:rFonts w:hint="default" w:ascii="Times New Roman" w:hAnsi="Times New Roman" w:eastAsia="仿宋_GB2312" w:cs="Times New Roman"/>
          <w:kern w:val="0"/>
          <w:sz w:val="36"/>
          <w:szCs w:val="36"/>
          <w:highlight w:val="none"/>
        </w:rPr>
        <w:t>日</w:t>
      </w:r>
    </w:p>
    <w:p w14:paraId="00C99A6B">
      <w:pPr>
        <w:keepNext w:val="0"/>
        <w:keepLines w:val="0"/>
        <w:pageBreakBefore w:val="0"/>
        <w:kinsoku/>
        <w:wordWrap w:val="0"/>
        <w:overflowPunct/>
        <w:topLinePunct/>
        <w:autoSpaceDE/>
        <w:autoSpaceDN/>
        <w:bidi w:val="0"/>
        <w:adjustRightInd/>
        <w:snapToGrid/>
        <w:spacing w:line="560" w:lineRule="exact"/>
        <w:textAlignment w:val="auto"/>
        <w:rPr>
          <w:rFonts w:hint="default" w:ascii="Times New Roman" w:hAnsi="Times New Roman" w:eastAsia="黑体" w:cs="Times New Roman"/>
          <w:bCs/>
          <w:sz w:val="32"/>
          <w:szCs w:val="32"/>
          <w:highlight w:val="none"/>
        </w:rPr>
        <w:sectPr>
          <w:pgSz w:w="11906" w:h="16838"/>
          <w:pgMar w:top="2098" w:right="1531" w:bottom="1984" w:left="1531" w:header="851" w:footer="992" w:gutter="0"/>
          <w:cols w:space="425" w:num="1"/>
          <w:docGrid w:type="lines" w:linePitch="312" w:charSpace="0"/>
        </w:sectPr>
      </w:pPr>
    </w:p>
    <w:p w14:paraId="4CF00A17">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rPr>
        <w:t>一、基本情况</w:t>
      </w:r>
    </w:p>
    <w:p w14:paraId="4BB64A2E">
      <w:pPr>
        <w:keepNext w:val="0"/>
        <w:keepLines w:val="0"/>
        <w:pageBreakBefore w:val="0"/>
        <w:widowControl w:val="0"/>
        <w:kinsoku/>
        <w:wordWrap w:val="0"/>
        <w:overflowPunct/>
        <w:topLinePunct/>
        <w:autoSpaceDE/>
        <w:autoSpaceDN/>
        <w:bidi w:val="0"/>
        <w:adjustRightInd/>
        <w:snapToGrid/>
        <w:spacing w:line="560" w:lineRule="exact"/>
        <w:ind w:firstLine="643" w:firstLineChars="200"/>
        <w:textAlignment w:val="auto"/>
        <w:rPr>
          <w:rFonts w:hint="eastAsia" w:ascii="楷体" w:hAnsi="楷体" w:eastAsia="楷体" w:cs="楷体"/>
          <w:b/>
          <w:bCs/>
          <w:sz w:val="32"/>
          <w:szCs w:val="32"/>
        </w:rPr>
      </w:pPr>
      <w:r>
        <w:rPr>
          <w:rFonts w:hint="eastAsia" w:ascii="楷体" w:hAnsi="楷体" w:eastAsia="楷体" w:cs="楷体"/>
          <w:b/>
          <w:bCs/>
          <w:sz w:val="32"/>
          <w:szCs w:val="32"/>
        </w:rPr>
        <w:t>（一）项目概况</w:t>
      </w:r>
    </w:p>
    <w:p w14:paraId="5EF49B7E">
      <w:pPr>
        <w:keepNext w:val="0"/>
        <w:keepLines w:val="0"/>
        <w:pageBreakBefore w:val="0"/>
        <w:widowControl w:val="0"/>
        <w:kinsoku/>
        <w:wordWrap w:val="0"/>
        <w:overflowPunct/>
        <w:topLinePunct/>
        <w:autoSpaceDE/>
        <w:autoSpaceDN/>
        <w:bidi w:val="0"/>
        <w:adjustRightInd/>
        <w:snapToGrid/>
        <w:spacing w:line="560" w:lineRule="exact"/>
        <w:ind w:firstLine="643" w:firstLineChars="200"/>
        <w:textAlignment w:val="auto"/>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1</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b/>
          <w:bCs/>
          <w:sz w:val="32"/>
          <w:szCs w:val="32"/>
        </w:rPr>
        <w:t>项目背景</w:t>
      </w:r>
    </w:p>
    <w:p w14:paraId="2A8E025B">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en-US" w:eastAsia="zh-CN"/>
        </w:rPr>
        <w:t>为进一步完善新一轮退耕还林政策实施，巩固新一轮已有退耕成果，持续发挥生态效益，确保退耕户利益，提升受益群众满意度，根据自治区财政厅《关于提前下达2024年林业草原改革发展资金的通知》(新财资环&lt;2023&gt;128号)和《</w:t>
      </w:r>
      <w:r>
        <w:rPr>
          <w:rFonts w:hint="default" w:ascii="Times New Roman" w:hAnsi="Times New Roman" w:eastAsia="仿宋_GB2312" w:cs="Times New Roman"/>
          <w:sz w:val="32"/>
          <w:szCs w:val="32"/>
        </w:rPr>
        <w:t>昌州财建（2023）135号关于提前下达2024年中央林业草原改革发展资金预算的投资</w:t>
      </w:r>
      <w:r>
        <w:rPr>
          <w:rFonts w:hint="default" w:ascii="Times New Roman" w:hAnsi="Times New Roman" w:eastAsia="仿宋_GB2312" w:cs="Times New Roman"/>
          <w:sz w:val="32"/>
          <w:szCs w:val="32"/>
          <w:lang w:val="en-US" w:eastAsia="zh-CN"/>
        </w:rPr>
        <w:t>》文件要求，奇台县林业和草原局认真落实。</w:t>
      </w:r>
    </w:p>
    <w:p w14:paraId="06959FF8">
      <w:pPr>
        <w:keepNext w:val="0"/>
        <w:keepLines w:val="0"/>
        <w:pageBreakBefore w:val="0"/>
        <w:widowControl w:val="0"/>
        <w:kinsoku/>
        <w:wordWrap w:val="0"/>
        <w:overflowPunct/>
        <w:topLinePunct/>
        <w:autoSpaceDE/>
        <w:autoSpaceDN/>
        <w:bidi w:val="0"/>
        <w:adjustRightInd/>
        <w:snapToGrid/>
        <w:spacing w:line="560" w:lineRule="exact"/>
        <w:ind w:firstLine="643" w:firstLineChars="200"/>
        <w:textAlignment w:val="auto"/>
        <w:rPr>
          <w:rFonts w:hint="default" w:ascii="Times New Roman" w:hAnsi="Times New Roman" w:eastAsia="仿宋_GB2312" w:cs="Times New Roman"/>
          <w:b/>
          <w:bCs/>
          <w:sz w:val="32"/>
          <w:szCs w:val="32"/>
          <w:lang w:val="en-US" w:eastAsia="zh-CN"/>
        </w:rPr>
      </w:pPr>
      <w:r>
        <w:rPr>
          <w:rFonts w:hint="eastAsia" w:ascii="Times New Roman" w:hAnsi="Times New Roman" w:eastAsia="仿宋_GB2312" w:cs="Times New Roman"/>
          <w:b/>
          <w:bCs/>
          <w:sz w:val="32"/>
          <w:szCs w:val="32"/>
          <w:lang w:val="en-US" w:eastAsia="zh-CN"/>
        </w:rPr>
        <w:t>2.</w:t>
      </w:r>
      <w:r>
        <w:rPr>
          <w:rFonts w:hint="default" w:ascii="Times New Roman" w:hAnsi="Times New Roman" w:eastAsia="仿宋_GB2312" w:cs="Times New Roman"/>
          <w:b/>
          <w:bCs/>
          <w:sz w:val="32"/>
          <w:szCs w:val="32"/>
          <w:lang w:val="en-US" w:eastAsia="zh-CN"/>
        </w:rPr>
        <w:t>项目主要内容</w:t>
      </w:r>
    </w:p>
    <w:p w14:paraId="317E9D8E">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（1）</w:t>
      </w:r>
      <w:r>
        <w:rPr>
          <w:rFonts w:hint="default" w:ascii="Times New Roman" w:hAnsi="Times New Roman" w:eastAsia="仿宋_GB2312" w:cs="Times New Roman"/>
          <w:sz w:val="32"/>
          <w:szCs w:val="32"/>
          <w:lang w:val="en-US" w:eastAsia="zh-CN"/>
        </w:rPr>
        <w:t>主要内容：2024年，自治区下达我县的新一轮退耕还林延长补助面积计划任务总计13.6306万亩，项目区涉及大泉塔塔尔族乡、东湾镇、吉布库镇、碧流河镇、半截沟镇、乔仁乡、三个庄子镇、五马场乡、坎尔孜乡、古城乡、西北湾镇、西地镇12个乡镇，37个村、464个小班、181户农户。以梭梭、红柳、柠条、枸杞子、文冠果为主栽树种。奇台县2018年度新一轮退耕还林任务面积为70000亩，其中，生态林65259.6亩，生态林占比93.2%，经济林4740.4亩，经济林占比6.8%。核实保存面积70000亩,面积核实率100%，任务完成率100%。经验收，2023年秋季、2024年春季进行补植补栽后，保存率65%以上的合格面积64567.9亩，合格率92.2%。</w:t>
      </w:r>
    </w:p>
    <w:p w14:paraId="6A891FC1">
      <w:pPr>
        <w:spacing w:line="560" w:lineRule="exact"/>
        <w:ind w:firstLine="640" w:firstLineChars="0"/>
        <w:rPr>
          <w:rFonts w:hint="default"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eastAsia="zh-CN"/>
        </w:rPr>
        <w:t>（</w:t>
      </w:r>
      <w:r>
        <w:rPr>
          <w:rFonts w:hint="eastAsia" w:ascii="Times New Roman" w:hAnsi="Times New Roman" w:eastAsia="仿宋_GB2312" w:cs="Times New Roman"/>
          <w:sz w:val="32"/>
          <w:szCs w:val="32"/>
          <w:lang w:val="en-US" w:eastAsia="zh-CN"/>
        </w:rPr>
        <w:t>2</w:t>
      </w:r>
      <w:r>
        <w:rPr>
          <w:rFonts w:hint="eastAsia"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实施情况：</w:t>
      </w:r>
      <w:r>
        <w:rPr>
          <w:rFonts w:hint="eastAsia" w:ascii="Times New Roman" w:hAnsi="Times New Roman" w:eastAsia="仿宋_GB2312" w:cs="Times New Roman"/>
          <w:sz w:val="32"/>
          <w:szCs w:val="32"/>
          <w:lang w:val="en-US" w:eastAsia="zh-CN"/>
        </w:rPr>
        <w:t>发放退耕户</w:t>
      </w:r>
      <w:r>
        <w:rPr>
          <w:rFonts w:hint="default" w:ascii="Times New Roman" w:hAnsi="Times New Roman" w:eastAsia="仿宋_GB2312" w:cs="Times New Roman"/>
          <w:sz w:val="32"/>
          <w:szCs w:val="32"/>
          <w:lang w:val="en-US" w:eastAsia="zh-CN"/>
        </w:rPr>
        <w:t>181</w:t>
      </w:r>
      <w:r>
        <w:rPr>
          <w:rFonts w:hint="eastAsia" w:ascii="Times New Roman" w:hAnsi="Times New Roman" w:eastAsia="仿宋_GB2312" w:cs="Times New Roman"/>
          <w:sz w:val="32"/>
          <w:szCs w:val="32"/>
          <w:lang w:val="en-US" w:eastAsia="zh-CN"/>
        </w:rPr>
        <w:t>户，资金拨付率达到100%，资金发放准确率100%，有效改善生态环境，遏制土地荒漠化，让退耕户的收入明显增加。</w:t>
      </w:r>
    </w:p>
    <w:p w14:paraId="205388C5">
      <w:pPr>
        <w:keepNext w:val="0"/>
        <w:keepLines w:val="0"/>
        <w:pageBreakBefore w:val="0"/>
        <w:widowControl w:val="0"/>
        <w:kinsoku/>
        <w:wordWrap w:val="0"/>
        <w:overflowPunct/>
        <w:topLinePunct/>
        <w:autoSpaceDE/>
        <w:autoSpaceDN/>
        <w:bidi w:val="0"/>
        <w:adjustRightInd/>
        <w:snapToGrid/>
        <w:spacing w:line="560" w:lineRule="exact"/>
        <w:ind w:firstLine="643" w:firstLineChars="200"/>
        <w:textAlignment w:val="auto"/>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3</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b/>
          <w:bCs/>
          <w:sz w:val="32"/>
          <w:szCs w:val="32"/>
        </w:rPr>
        <w:t>资金投入和使用情况</w:t>
      </w:r>
    </w:p>
    <w:p w14:paraId="22A4078B">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（1）资金投入情况</w:t>
      </w:r>
    </w:p>
    <w:p w14:paraId="1F485E71">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该项目年初预算数1363.06万元，全年预算数1363.06万元，该项目资金已全部落实到位，资金来源为财政拨款。</w:t>
      </w:r>
    </w:p>
    <w:p w14:paraId="389DBC6B">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（2）资金使用情况</w:t>
      </w:r>
    </w:p>
    <w:p w14:paraId="1A2BFB9A">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该项目年初预算数1363.06万元，全年预算数1363.06万元，全年执行数1300.21万元，预算执行率为95.39%，主要用于2024年新一轮退耕还林延长期补助。</w:t>
      </w:r>
    </w:p>
    <w:p w14:paraId="1C9D8E6D">
      <w:pPr>
        <w:keepNext w:val="0"/>
        <w:keepLines w:val="0"/>
        <w:pageBreakBefore w:val="0"/>
        <w:widowControl w:val="0"/>
        <w:kinsoku/>
        <w:wordWrap w:val="0"/>
        <w:overflowPunct/>
        <w:topLinePunct/>
        <w:autoSpaceDE/>
        <w:autoSpaceDN/>
        <w:bidi w:val="0"/>
        <w:adjustRightInd/>
        <w:snapToGrid/>
        <w:spacing w:line="560" w:lineRule="exact"/>
        <w:ind w:firstLine="643" w:firstLineChars="200"/>
        <w:textAlignment w:val="auto"/>
        <w:rPr>
          <w:rFonts w:hint="eastAsia" w:ascii="楷体" w:hAnsi="楷体" w:eastAsia="楷体" w:cs="楷体"/>
          <w:b/>
          <w:bCs/>
          <w:sz w:val="32"/>
          <w:szCs w:val="32"/>
        </w:rPr>
      </w:pPr>
      <w:r>
        <w:rPr>
          <w:rFonts w:hint="eastAsia" w:ascii="楷体" w:hAnsi="楷体" w:eastAsia="楷体" w:cs="楷体"/>
          <w:b/>
          <w:bCs/>
          <w:sz w:val="32"/>
          <w:szCs w:val="32"/>
        </w:rPr>
        <w:t>（二）项目绩效目标</w:t>
      </w:r>
    </w:p>
    <w:p w14:paraId="252F3EA2">
      <w:pPr>
        <w:keepNext w:val="0"/>
        <w:keepLines w:val="0"/>
        <w:pageBreakBefore w:val="0"/>
        <w:widowControl w:val="0"/>
        <w:kinsoku/>
        <w:wordWrap w:val="0"/>
        <w:overflowPunct/>
        <w:topLinePunct/>
        <w:autoSpaceDE/>
        <w:autoSpaceDN/>
        <w:bidi w:val="0"/>
        <w:adjustRightInd/>
        <w:snapToGrid/>
        <w:spacing w:line="560" w:lineRule="exact"/>
        <w:ind w:firstLine="643" w:firstLineChars="200"/>
        <w:textAlignment w:val="auto"/>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1</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b/>
          <w:bCs/>
          <w:sz w:val="32"/>
          <w:szCs w:val="32"/>
        </w:rPr>
        <w:t>总体目标</w:t>
      </w:r>
    </w:p>
    <w:p w14:paraId="4EEA198D">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2024年新一轮退耕还林延长期补助面积13.63057万亩，退耕还林合格率大于等于65%，新一轮退耕还林还草延长期补助资金兑现率达到100%，新一轮退耕还林还草延长补助标准为100元/亩，改善林区民生状况，增强巩固退耕还林还草发挥生态效益，退耕农户政策满意度大于等于85%，</w:t>
      </w:r>
    </w:p>
    <w:p w14:paraId="1211C46C">
      <w:pPr>
        <w:keepNext w:val="0"/>
        <w:keepLines w:val="0"/>
        <w:pageBreakBefore w:val="0"/>
        <w:widowControl w:val="0"/>
        <w:kinsoku/>
        <w:wordWrap w:val="0"/>
        <w:overflowPunct/>
        <w:topLinePunct/>
        <w:autoSpaceDE/>
        <w:autoSpaceDN/>
        <w:bidi w:val="0"/>
        <w:adjustRightInd/>
        <w:snapToGrid/>
        <w:spacing w:line="560" w:lineRule="exact"/>
        <w:ind w:firstLine="643" w:firstLineChars="200"/>
        <w:textAlignment w:val="auto"/>
        <w:rPr>
          <w:rFonts w:hint="default" w:ascii="Times New Roman" w:hAnsi="Times New Roman" w:eastAsia="仿宋_GB2312" w:cs="Times New Roman"/>
          <w:b/>
          <w:bCs/>
          <w:sz w:val="32"/>
          <w:szCs w:val="32"/>
          <w:lang w:val="en-US" w:eastAsia="zh-CN"/>
        </w:rPr>
      </w:pPr>
      <w:r>
        <w:rPr>
          <w:rFonts w:hint="default" w:ascii="Times New Roman" w:hAnsi="Times New Roman" w:eastAsia="仿宋_GB2312" w:cs="Times New Roman"/>
          <w:b/>
          <w:bCs/>
          <w:sz w:val="32"/>
          <w:szCs w:val="32"/>
          <w:lang w:val="en-US" w:eastAsia="zh-CN"/>
        </w:rPr>
        <w:t>2.阶段性目标</w:t>
      </w:r>
    </w:p>
    <w:p w14:paraId="24045480">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新一轮退耕还林延长期补助面积为13.63万亩，2023年秋季、2024年春季进行补植补栽后，验收合格13.0021万亩合格，剩余0.63万亩不合格，没有兑付补助资金。</w:t>
      </w:r>
    </w:p>
    <w:p w14:paraId="660B8F3D">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rPr>
        <w:t>二、绩效评价工作开展情况</w:t>
      </w:r>
    </w:p>
    <w:p w14:paraId="3B0E84EF">
      <w:pPr>
        <w:keepNext w:val="0"/>
        <w:keepLines w:val="0"/>
        <w:pageBreakBefore w:val="0"/>
        <w:widowControl w:val="0"/>
        <w:kinsoku/>
        <w:wordWrap w:val="0"/>
        <w:overflowPunct/>
        <w:topLinePunct/>
        <w:autoSpaceDE/>
        <w:autoSpaceDN/>
        <w:bidi w:val="0"/>
        <w:adjustRightInd/>
        <w:snapToGrid/>
        <w:spacing w:line="560" w:lineRule="exact"/>
        <w:ind w:firstLine="643" w:firstLineChars="200"/>
        <w:textAlignment w:val="auto"/>
        <w:rPr>
          <w:rFonts w:hint="eastAsia" w:ascii="楷体" w:hAnsi="楷体" w:eastAsia="楷体" w:cs="楷体"/>
          <w:b/>
          <w:bCs/>
          <w:sz w:val="32"/>
          <w:szCs w:val="32"/>
        </w:rPr>
      </w:pPr>
      <w:r>
        <w:rPr>
          <w:rFonts w:hint="eastAsia" w:ascii="楷体" w:hAnsi="楷体" w:eastAsia="楷体" w:cs="楷体"/>
          <w:b/>
          <w:bCs/>
          <w:sz w:val="32"/>
          <w:szCs w:val="32"/>
        </w:rPr>
        <w:t>（一）绩效评价目的、对象和范围</w:t>
      </w:r>
    </w:p>
    <w:p w14:paraId="4C0D61A2">
      <w:pPr>
        <w:keepNext w:val="0"/>
        <w:keepLines w:val="0"/>
        <w:pageBreakBefore w:val="0"/>
        <w:widowControl w:val="0"/>
        <w:kinsoku/>
        <w:wordWrap w:val="0"/>
        <w:overflowPunct/>
        <w:topLinePunct/>
        <w:autoSpaceDE/>
        <w:autoSpaceDN/>
        <w:bidi w:val="0"/>
        <w:adjustRightInd/>
        <w:snapToGrid/>
        <w:spacing w:line="560" w:lineRule="exact"/>
        <w:ind w:firstLine="643" w:firstLineChars="200"/>
        <w:textAlignment w:val="auto"/>
        <w:rPr>
          <w:rFonts w:hint="default" w:ascii="Times New Roman" w:hAnsi="Times New Roman" w:eastAsia="仿宋_GB2312" w:cs="Times New Roman"/>
          <w:b/>
          <w:bCs/>
          <w:sz w:val="32"/>
          <w:szCs w:val="32"/>
          <w:lang w:val="en-US" w:eastAsia="zh-CN"/>
        </w:rPr>
      </w:pPr>
      <w:r>
        <w:rPr>
          <w:rFonts w:hint="default" w:ascii="Times New Roman" w:hAnsi="Times New Roman" w:eastAsia="仿宋_GB2312" w:cs="Times New Roman"/>
          <w:b/>
          <w:bCs/>
          <w:sz w:val="32"/>
          <w:szCs w:val="32"/>
          <w:lang w:val="en-US" w:eastAsia="zh-CN"/>
        </w:rPr>
        <w:t>1.绩效评价完整性</w:t>
      </w:r>
    </w:p>
    <w:p w14:paraId="3A243B2C">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全面涵盖多方面指标：包括生态指标，如森林植被覆盖度、水土流失治理程度、生物多样性指数等；经济指标，如农民因退耕还林获得的直接补贴收入、后续产业发展带来的增收情况等；社会指标，如农民对退耕还林政策的满意度、农村劳动力就业结构变化等。通过多维度指标，全面反映退耕还林项目的综合绩效。</w:t>
      </w:r>
    </w:p>
    <w:p w14:paraId="62186EEC">
      <w:pPr>
        <w:keepNext w:val="0"/>
        <w:keepLines w:val="0"/>
        <w:pageBreakBefore w:val="0"/>
        <w:widowControl w:val="0"/>
        <w:kinsoku/>
        <w:wordWrap w:val="0"/>
        <w:overflowPunct/>
        <w:topLinePunct/>
        <w:autoSpaceDE/>
        <w:autoSpaceDN/>
        <w:bidi w:val="0"/>
        <w:adjustRightInd/>
        <w:snapToGrid/>
        <w:spacing w:line="560" w:lineRule="exact"/>
        <w:ind w:firstLine="643"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b/>
          <w:bCs/>
          <w:sz w:val="32"/>
          <w:szCs w:val="32"/>
          <w:lang w:val="en-US" w:eastAsia="zh-CN"/>
        </w:rPr>
        <w:t>一是</w:t>
      </w:r>
      <w:r>
        <w:rPr>
          <w:rFonts w:hint="default" w:ascii="Times New Roman" w:hAnsi="Times New Roman" w:eastAsia="仿宋_GB2312" w:cs="Times New Roman"/>
          <w:sz w:val="32"/>
          <w:szCs w:val="32"/>
          <w:lang w:val="en-US" w:eastAsia="zh-CN"/>
        </w:rPr>
        <w:t>评价过程的完整性:前期准备充分：明确评价目的、对象和范围，制定详细的评价方案，确定评价方法和指标体系，收集相关资料和数据，包括项目规划文件、历年统计数据、实地调查资料等，为评价工作奠定坚实基础；按照既定的评价方案，运用科学的方法，对收集的数据进行整理、分析和计算，通过实地考察、问卷调查、访谈等多种方式获取全面准确的信息，确保评价过程的客观性和公正性；及时将评价结果反馈给相关部门和利益相关者，为政策调整、项目改进提供依据，同时跟踪反馈意见的落实情况，形成评价工作的闭环，以保证评价结果能够切实发挥作用，促进退耕还林工作的持续优化。</w:t>
      </w:r>
    </w:p>
    <w:p w14:paraId="6D4A0AD3">
      <w:pPr>
        <w:keepNext w:val="0"/>
        <w:keepLines w:val="0"/>
        <w:pageBreakBefore w:val="0"/>
        <w:widowControl w:val="0"/>
        <w:kinsoku/>
        <w:wordWrap w:val="0"/>
        <w:overflowPunct/>
        <w:topLinePunct/>
        <w:autoSpaceDE/>
        <w:autoSpaceDN/>
        <w:bidi w:val="0"/>
        <w:adjustRightInd/>
        <w:snapToGrid/>
        <w:spacing w:line="560" w:lineRule="exact"/>
        <w:ind w:firstLine="643"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b/>
          <w:bCs/>
          <w:sz w:val="32"/>
          <w:szCs w:val="32"/>
          <w:lang w:val="en-US" w:eastAsia="zh-CN"/>
        </w:rPr>
        <w:t>二是</w:t>
      </w:r>
      <w:r>
        <w:rPr>
          <w:rFonts w:hint="default" w:ascii="Times New Roman" w:hAnsi="Times New Roman" w:eastAsia="仿宋_GB2312" w:cs="Times New Roman"/>
          <w:sz w:val="32"/>
          <w:szCs w:val="32"/>
          <w:lang w:val="en-US" w:eastAsia="zh-CN"/>
        </w:rPr>
        <w:t>评价主体的完整性：包括政府部门、专业的第三方评估机构、科研院所、农民代表等。政府部门从政策执行和管理角度进行评价，第三方评估机构提供客观中立的专业评价，科研院所凭借专业知识和技术进行深入分析，农民代表则从切身感受和实际受益角度反馈情况，多元主体相互补充，保证评价的全面性和客观性。各评价主体在评价过程中明确分工、密切配合，共同参与评价指标制定、数据收集分析、结果讨论等环节，形成协同效应，使评价结果更具说服力和可信度。</w:t>
      </w:r>
    </w:p>
    <w:p w14:paraId="618D1A08">
      <w:pPr>
        <w:keepNext w:val="0"/>
        <w:keepLines w:val="0"/>
        <w:pageBreakBefore w:val="0"/>
        <w:widowControl w:val="0"/>
        <w:kinsoku/>
        <w:wordWrap w:val="0"/>
        <w:overflowPunct/>
        <w:topLinePunct/>
        <w:autoSpaceDE/>
        <w:autoSpaceDN/>
        <w:bidi w:val="0"/>
        <w:adjustRightInd/>
        <w:snapToGrid/>
        <w:spacing w:line="560" w:lineRule="exact"/>
        <w:ind w:firstLine="643"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b/>
          <w:bCs/>
          <w:sz w:val="32"/>
          <w:szCs w:val="32"/>
          <w:lang w:val="en-US" w:eastAsia="zh-CN"/>
        </w:rPr>
        <w:t>三是</w:t>
      </w:r>
      <w:r>
        <w:rPr>
          <w:rFonts w:hint="default" w:ascii="Times New Roman" w:hAnsi="Times New Roman" w:eastAsia="仿宋_GB2312" w:cs="Times New Roman"/>
          <w:sz w:val="32"/>
          <w:szCs w:val="32"/>
          <w:lang w:val="en-US" w:eastAsia="zh-CN"/>
        </w:rPr>
        <w:t>评价数据的完整性:涵盖多个渠道，如政府部门的统计数据、项目实施单位的监测数据、实地调查数据、农户问卷调查数据等，确保从不同角度获取与退耕还林绩效相关的信息。</w:t>
      </w:r>
    </w:p>
    <w:p w14:paraId="19734FB0">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对收集的数据进行严格的审核和验证，确保数据的真实性、准确性和一致性。同时，建立数据管理系统，对数据进行规范存储和管理，便于随时查询和使用，为评价工作提供可靠的数据支持。</w:t>
      </w:r>
    </w:p>
    <w:p w14:paraId="60621865">
      <w:pPr>
        <w:keepNext w:val="0"/>
        <w:keepLines w:val="0"/>
        <w:pageBreakBefore w:val="0"/>
        <w:widowControl w:val="0"/>
        <w:kinsoku/>
        <w:wordWrap w:val="0"/>
        <w:overflowPunct/>
        <w:topLinePunct/>
        <w:autoSpaceDE/>
        <w:autoSpaceDN/>
        <w:bidi w:val="0"/>
        <w:adjustRightInd/>
        <w:snapToGrid/>
        <w:spacing w:line="560" w:lineRule="exact"/>
        <w:ind w:firstLine="643" w:firstLineChars="200"/>
        <w:textAlignment w:val="auto"/>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lang w:val="en-US" w:eastAsia="zh-CN"/>
        </w:rPr>
        <w:t>2.</w:t>
      </w:r>
      <w:r>
        <w:rPr>
          <w:rFonts w:hint="default" w:ascii="Times New Roman" w:hAnsi="Times New Roman" w:eastAsia="仿宋_GB2312" w:cs="Times New Roman"/>
          <w:b/>
          <w:bCs/>
          <w:sz w:val="32"/>
          <w:szCs w:val="32"/>
        </w:rPr>
        <w:t>绩效评价的目的</w:t>
      </w:r>
    </w:p>
    <w:p w14:paraId="585E1DC7">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rPr>
      </w:pPr>
      <w:r>
        <w:rPr>
          <w:rFonts w:hint="eastAsia" w:ascii="Times New Roman" w:hAnsi="Times New Roman" w:eastAsia="仿宋_GB2312" w:cs="Times New Roman"/>
          <w:sz w:val="32"/>
          <w:szCs w:val="32"/>
          <w:lang w:eastAsia="zh-CN"/>
        </w:rPr>
        <w:t>（</w:t>
      </w:r>
      <w:r>
        <w:rPr>
          <w:rFonts w:hint="eastAsia" w:ascii="Times New Roman" w:hAnsi="Times New Roman" w:eastAsia="仿宋_GB2312" w:cs="Times New Roman"/>
          <w:sz w:val="32"/>
          <w:szCs w:val="32"/>
          <w:lang w:val="en-US" w:eastAsia="zh-CN"/>
        </w:rPr>
        <w:t>1</w:t>
      </w:r>
      <w:r>
        <w:rPr>
          <w:rFonts w:hint="eastAsia"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评估政策成效：全面了解退耕还林政策在生态环境改善、农民生活质量提升、区域经济发展等方面所取得的实际效果，判断政策目标的实现程度。</w:t>
      </w:r>
    </w:p>
    <w:p w14:paraId="06130408">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rPr>
      </w:pPr>
      <w:r>
        <w:rPr>
          <w:rFonts w:hint="eastAsia" w:ascii="Times New Roman" w:hAnsi="Times New Roman" w:eastAsia="仿宋_GB2312" w:cs="Times New Roman"/>
          <w:sz w:val="32"/>
          <w:szCs w:val="32"/>
          <w:lang w:eastAsia="zh-CN"/>
        </w:rPr>
        <w:t>（</w:t>
      </w:r>
      <w:r>
        <w:rPr>
          <w:rFonts w:hint="eastAsia" w:ascii="Times New Roman" w:hAnsi="Times New Roman" w:eastAsia="仿宋_GB2312" w:cs="Times New Roman"/>
          <w:sz w:val="32"/>
          <w:szCs w:val="32"/>
          <w:lang w:val="en-US" w:eastAsia="zh-CN"/>
        </w:rPr>
        <w:t>2</w:t>
      </w:r>
      <w:r>
        <w:rPr>
          <w:rFonts w:hint="eastAsia"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优化资源配置：通过分析投入与产出的关系，明确资源在退耕还林项目中的使用效率，为后续资金分配、资源投入方向提供科学依据，使资源得到更合理有效的利用。</w:t>
      </w:r>
    </w:p>
    <w:p w14:paraId="2DCB11E8">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rPr>
      </w:pPr>
      <w:r>
        <w:rPr>
          <w:rFonts w:hint="eastAsia" w:ascii="Times New Roman" w:hAnsi="Times New Roman" w:eastAsia="仿宋_GB2312" w:cs="Times New Roman"/>
          <w:sz w:val="32"/>
          <w:szCs w:val="32"/>
          <w:lang w:eastAsia="zh-CN"/>
        </w:rPr>
        <w:t>（</w:t>
      </w:r>
      <w:r>
        <w:rPr>
          <w:rFonts w:hint="eastAsia" w:ascii="Times New Roman" w:hAnsi="Times New Roman" w:eastAsia="仿宋_GB2312" w:cs="Times New Roman"/>
          <w:sz w:val="32"/>
          <w:szCs w:val="32"/>
          <w:lang w:val="en-US" w:eastAsia="zh-CN"/>
        </w:rPr>
        <w:t>3</w:t>
      </w:r>
      <w:r>
        <w:rPr>
          <w:rFonts w:hint="eastAsia"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发现问题并改进：及时发现退耕还林工作中存在的问题，如工程实施过程中的技术难题、政策执行的偏差、后续管理的漏洞等，以便采取针对性措施加以改进，提高项目实施质量。</w:t>
      </w:r>
    </w:p>
    <w:p w14:paraId="658E8501">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rPr>
      </w:pPr>
      <w:r>
        <w:rPr>
          <w:rFonts w:hint="eastAsia" w:ascii="Times New Roman" w:hAnsi="Times New Roman" w:eastAsia="仿宋_GB2312" w:cs="Times New Roman"/>
          <w:sz w:val="32"/>
          <w:szCs w:val="32"/>
          <w:lang w:eastAsia="zh-CN"/>
        </w:rPr>
        <w:t>（</w:t>
      </w:r>
      <w:r>
        <w:rPr>
          <w:rFonts w:hint="eastAsia" w:ascii="Times New Roman" w:hAnsi="Times New Roman" w:eastAsia="仿宋_GB2312" w:cs="Times New Roman"/>
          <w:sz w:val="32"/>
          <w:szCs w:val="32"/>
          <w:lang w:val="en-US" w:eastAsia="zh-CN"/>
        </w:rPr>
        <w:t>4</w:t>
      </w:r>
      <w:r>
        <w:rPr>
          <w:rFonts w:hint="eastAsia"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为政策调整提供依据：根据绩效评价结果，为退耕还林政策的调整、完善提供数据支持和决策参考，确保政策的科学性、有效性和可持续性。</w:t>
      </w:r>
    </w:p>
    <w:p w14:paraId="495DA2D3">
      <w:pPr>
        <w:keepNext w:val="0"/>
        <w:keepLines w:val="0"/>
        <w:pageBreakBefore w:val="0"/>
        <w:widowControl w:val="0"/>
        <w:kinsoku/>
        <w:wordWrap w:val="0"/>
        <w:overflowPunct/>
        <w:topLinePunct/>
        <w:autoSpaceDE/>
        <w:autoSpaceDN/>
        <w:bidi w:val="0"/>
        <w:adjustRightInd/>
        <w:snapToGrid/>
        <w:spacing w:line="560" w:lineRule="exact"/>
        <w:ind w:firstLine="643" w:firstLineChars="200"/>
        <w:textAlignment w:val="auto"/>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lang w:val="en-US" w:eastAsia="zh-CN"/>
        </w:rPr>
        <w:t>3.</w:t>
      </w:r>
      <w:r>
        <w:rPr>
          <w:rFonts w:hint="default" w:ascii="Times New Roman" w:hAnsi="Times New Roman" w:eastAsia="仿宋_GB2312" w:cs="Times New Roman"/>
          <w:b/>
          <w:bCs/>
          <w:sz w:val="32"/>
          <w:szCs w:val="32"/>
        </w:rPr>
        <w:t>绩效评价的对象</w:t>
      </w:r>
    </w:p>
    <w:p w14:paraId="4C90B2D8">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本项目预算绩效评价报告的评价对象是昌州财建（2023）135号关于提前下达2024年中央林业草原改革发展资金预算的投资及其预算执行情况。该项目由</w:t>
      </w:r>
      <w:r>
        <w:rPr>
          <w:rFonts w:hint="default" w:ascii="Times New Roman" w:hAnsi="Times New Roman" w:eastAsia="仿宋_GB2312" w:cs="Times New Roman"/>
          <w:sz w:val="32"/>
          <w:szCs w:val="32"/>
          <w:lang w:val="en-US" w:eastAsia="zh-CN"/>
        </w:rPr>
        <w:t>奇台县林业和草原局</w:t>
      </w:r>
      <w:r>
        <w:rPr>
          <w:rFonts w:hint="default" w:ascii="Times New Roman" w:hAnsi="Times New Roman" w:eastAsia="仿宋_GB2312" w:cs="Times New Roman"/>
          <w:sz w:val="32"/>
          <w:szCs w:val="32"/>
        </w:rPr>
        <w:t>负责实施，旨在</w:t>
      </w:r>
      <w:r>
        <w:rPr>
          <w:rFonts w:hint="default" w:ascii="Times New Roman" w:hAnsi="Times New Roman" w:eastAsia="仿宋_GB2312" w:cs="Times New Roman"/>
          <w:sz w:val="32"/>
          <w:szCs w:val="32"/>
          <w:lang w:val="en-US" w:eastAsia="zh-CN"/>
        </w:rPr>
        <w:t>2024年新一轮退耕还林延长期补助面积13.63057万亩。项目预算涵盖从2024年1月1日至2024年12月31日的全部资金</w:t>
      </w:r>
      <w:r>
        <w:rPr>
          <w:rFonts w:hint="default" w:ascii="Times New Roman" w:hAnsi="Times New Roman" w:eastAsia="仿宋_GB2312" w:cs="Times New Roman"/>
          <w:sz w:val="32"/>
          <w:szCs w:val="32"/>
        </w:rPr>
        <w:t>投入与支出，涉及资金总额</w:t>
      </w:r>
      <w:r>
        <w:rPr>
          <w:rFonts w:hint="default" w:ascii="Times New Roman" w:hAnsi="Times New Roman" w:eastAsia="仿宋_GB2312" w:cs="Times New Roman"/>
          <w:sz w:val="32"/>
          <w:szCs w:val="32"/>
          <w:lang w:val="en-US" w:eastAsia="zh-CN"/>
        </w:rPr>
        <w:t>为1363.06万元</w:t>
      </w:r>
      <w:r>
        <w:rPr>
          <w:rFonts w:hint="default" w:ascii="Times New Roman" w:hAnsi="Times New Roman" w:eastAsia="仿宋_GB2312" w:cs="Times New Roman"/>
          <w:sz w:val="32"/>
          <w:szCs w:val="32"/>
        </w:rPr>
        <w:t>。</w:t>
      </w:r>
    </w:p>
    <w:p w14:paraId="2AE77849">
      <w:pPr>
        <w:keepNext w:val="0"/>
        <w:keepLines w:val="0"/>
        <w:pageBreakBefore w:val="0"/>
        <w:widowControl w:val="0"/>
        <w:kinsoku/>
        <w:wordWrap w:val="0"/>
        <w:overflowPunct/>
        <w:topLinePunct/>
        <w:autoSpaceDE/>
        <w:autoSpaceDN/>
        <w:bidi w:val="0"/>
        <w:adjustRightInd/>
        <w:snapToGrid/>
        <w:spacing w:line="560" w:lineRule="exact"/>
        <w:ind w:firstLine="643" w:firstLineChars="200"/>
        <w:textAlignment w:val="auto"/>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lang w:val="en-US" w:eastAsia="zh-CN"/>
        </w:rPr>
        <w:t>4.</w:t>
      </w:r>
      <w:r>
        <w:rPr>
          <w:rFonts w:hint="default" w:ascii="Times New Roman" w:hAnsi="Times New Roman" w:eastAsia="仿宋_GB2312" w:cs="Times New Roman"/>
          <w:b/>
          <w:bCs/>
          <w:sz w:val="32"/>
          <w:szCs w:val="32"/>
        </w:rPr>
        <w:t>绩效评价的范围</w:t>
      </w:r>
    </w:p>
    <w:p w14:paraId="764FB8F9">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本次绩效评价主要围绕项目决策、项目管理、项目产出、项目效益四个维度，对该专项资金的预算编制、项目实施、监督管理、资金支出使用、绩效目标的实现情况以及受益对象的满意度等开展综合评价。</w:t>
      </w:r>
    </w:p>
    <w:p w14:paraId="49F92993">
      <w:pPr>
        <w:keepNext w:val="0"/>
        <w:keepLines w:val="0"/>
        <w:pageBreakBefore w:val="0"/>
        <w:widowControl w:val="0"/>
        <w:kinsoku/>
        <w:wordWrap w:val="0"/>
        <w:overflowPunct/>
        <w:topLinePunct/>
        <w:autoSpaceDE/>
        <w:autoSpaceDN/>
        <w:bidi w:val="0"/>
        <w:adjustRightInd/>
        <w:snapToGrid/>
        <w:spacing w:line="560" w:lineRule="exact"/>
        <w:ind w:firstLine="643" w:firstLineChars="200"/>
        <w:textAlignment w:val="auto"/>
        <w:rPr>
          <w:rFonts w:hint="eastAsia" w:ascii="楷体" w:hAnsi="楷体" w:eastAsia="楷体" w:cs="楷体"/>
          <w:b/>
          <w:bCs/>
          <w:sz w:val="32"/>
          <w:szCs w:val="32"/>
        </w:rPr>
      </w:pPr>
      <w:r>
        <w:rPr>
          <w:rFonts w:hint="eastAsia" w:ascii="楷体" w:hAnsi="楷体" w:eastAsia="楷体" w:cs="楷体"/>
          <w:b/>
          <w:bCs/>
          <w:sz w:val="32"/>
          <w:szCs w:val="32"/>
        </w:rPr>
        <w:t>（二）绩效评价原则、评价指标体系（详情见表1）、评价方法、评价标准。</w:t>
      </w:r>
    </w:p>
    <w:p w14:paraId="6B13A5FF">
      <w:pPr>
        <w:keepNext w:val="0"/>
        <w:keepLines w:val="0"/>
        <w:pageBreakBefore w:val="0"/>
        <w:widowControl w:val="0"/>
        <w:kinsoku/>
        <w:wordWrap w:val="0"/>
        <w:overflowPunct/>
        <w:topLinePunct/>
        <w:autoSpaceDE/>
        <w:autoSpaceDN/>
        <w:bidi w:val="0"/>
        <w:adjustRightInd/>
        <w:snapToGrid/>
        <w:spacing w:line="560" w:lineRule="exact"/>
        <w:ind w:firstLine="643" w:firstLineChars="200"/>
        <w:textAlignment w:val="auto"/>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1</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b/>
          <w:bCs/>
          <w:sz w:val="32"/>
          <w:szCs w:val="32"/>
        </w:rPr>
        <w:t>绩效评价原则</w:t>
      </w:r>
    </w:p>
    <w:p w14:paraId="7A724B6C">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本次项目绩效评价遵循以下基本原则：</w:t>
      </w:r>
    </w:p>
    <w:p w14:paraId="686096F3">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（1）科学公正。绩效评价应当运用科学合理的方法，按照规范的程序，对项目绩效进行客观、公正的反映。</w:t>
      </w:r>
    </w:p>
    <w:p w14:paraId="362568E5">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（2）统筹兼顾。单位自评、部门评价和财政评价应职责明确，各有侧重，相互衔接。单位自评应由项目单位自主实施，即“谁支出、谁自评”。部门评价和财政评价应在单位自评的基础上开展。</w:t>
      </w:r>
    </w:p>
    <w:p w14:paraId="5B3B5893">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rPr>
        <w:t>（3）激励约束。绩效评价结果应与预算安排、政策调整、改进管理实质性挂钩，体现奖优罚劣和激励相容导向，有效要安排、低效要压减、无效要问责。</w:t>
      </w:r>
      <w:r>
        <w:rPr>
          <w:rFonts w:hint="default" w:ascii="Times New Roman" w:hAnsi="Times New Roman" w:eastAsia="仿宋_GB2312" w:cs="Times New Roman"/>
          <w:sz w:val="32"/>
          <w:szCs w:val="32"/>
          <w:lang w:val="en-US" w:eastAsia="zh-CN"/>
        </w:rPr>
        <w:t xml:space="preserve"> </w:t>
      </w:r>
    </w:p>
    <w:p w14:paraId="3C8B9293">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（4）公开透明。绩效评价结果应依法依规公开，并自觉接受社会监督。</w:t>
      </w:r>
    </w:p>
    <w:p w14:paraId="306BBAD6">
      <w:pPr>
        <w:keepNext w:val="0"/>
        <w:keepLines w:val="0"/>
        <w:pageBreakBefore w:val="0"/>
        <w:widowControl w:val="0"/>
        <w:kinsoku/>
        <w:wordWrap w:val="0"/>
        <w:overflowPunct/>
        <w:topLinePunct/>
        <w:autoSpaceDE/>
        <w:autoSpaceDN/>
        <w:bidi w:val="0"/>
        <w:adjustRightInd/>
        <w:snapToGrid/>
        <w:spacing w:line="560" w:lineRule="exact"/>
        <w:ind w:firstLine="643" w:firstLineChars="200"/>
        <w:textAlignment w:val="auto"/>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2</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b/>
          <w:bCs/>
          <w:sz w:val="32"/>
          <w:szCs w:val="32"/>
        </w:rPr>
        <w:t>评价指标体系</w:t>
      </w:r>
    </w:p>
    <w:p w14:paraId="0CA41CA7">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绩效评价框架是开展绩效评价的核心。绩效评价框架包括评价准则、关键评价问题、评价指标、数据来源、数据收集方法等。指标体系建立过程如下：</w:t>
      </w:r>
    </w:p>
    <w:p w14:paraId="0BBA73C4">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（1）确定评价指标</w:t>
      </w:r>
    </w:p>
    <w:p w14:paraId="47627F6B">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采用层次分析法，建立评价指标体系。绩效评价将指标分为项目决策指标、项目过程指标、项目产出指标、项目效益指标四个维度，最终形成一个由多个相互联系的指标组成的多层次指标体系。</w:t>
      </w:r>
    </w:p>
    <w:p w14:paraId="2E2C23C2">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（2）确定权重</w:t>
      </w:r>
    </w:p>
    <w:p w14:paraId="3A8E4E62">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rPr>
        <w:t>确定各个指标相对于项目总体绩效的权重分值。在绩效评价指标体系中，</w:t>
      </w:r>
      <w:r>
        <w:rPr>
          <w:rFonts w:hint="default" w:ascii="Times New Roman" w:hAnsi="Times New Roman" w:eastAsia="仿宋_GB2312" w:cs="Times New Roman"/>
          <w:sz w:val="32"/>
          <w:szCs w:val="32"/>
          <w:lang w:val="en-US" w:eastAsia="zh-CN"/>
        </w:rPr>
        <w:t>项目决策权重20分，项目过程</w:t>
      </w:r>
      <w:r>
        <w:rPr>
          <w:rFonts w:hint="default" w:ascii="Times New Roman" w:hAnsi="Times New Roman" w:eastAsia="仿宋_GB2312" w:cs="Times New Roman"/>
          <w:sz w:val="32"/>
          <w:szCs w:val="32"/>
        </w:rPr>
        <w:t>权重为</w:t>
      </w:r>
      <w:r>
        <w:rPr>
          <w:rFonts w:hint="default" w:ascii="Times New Roman" w:hAnsi="Times New Roman" w:eastAsia="仿宋_GB2312" w:cs="Times New Roman"/>
          <w:sz w:val="32"/>
          <w:szCs w:val="32"/>
          <w:lang w:val="en-US" w:eastAsia="zh-CN"/>
        </w:rPr>
        <w:t>20</w:t>
      </w:r>
      <w:r>
        <w:rPr>
          <w:rFonts w:hint="default" w:ascii="Times New Roman" w:hAnsi="Times New Roman" w:eastAsia="仿宋_GB2312" w:cs="Times New Roman"/>
          <w:sz w:val="32"/>
          <w:szCs w:val="32"/>
        </w:rPr>
        <w:t>分，</w:t>
      </w:r>
      <w:r>
        <w:rPr>
          <w:rFonts w:hint="default" w:ascii="Times New Roman" w:hAnsi="Times New Roman" w:eastAsia="仿宋_GB2312" w:cs="Times New Roman"/>
          <w:sz w:val="32"/>
          <w:szCs w:val="32"/>
          <w:lang w:val="en-US" w:eastAsia="zh-CN"/>
        </w:rPr>
        <w:t>项目产出权重为40分，</w:t>
      </w:r>
      <w:r>
        <w:rPr>
          <w:rFonts w:hint="default" w:ascii="Times New Roman" w:hAnsi="Times New Roman" w:eastAsia="仿宋_GB2312" w:cs="Times New Roman"/>
          <w:sz w:val="32"/>
          <w:szCs w:val="32"/>
        </w:rPr>
        <w:t>项目效益权重为</w:t>
      </w:r>
      <w:r>
        <w:rPr>
          <w:rFonts w:hint="default" w:ascii="Times New Roman" w:hAnsi="Times New Roman" w:eastAsia="仿宋_GB2312" w:cs="Times New Roman"/>
          <w:sz w:val="32"/>
          <w:szCs w:val="32"/>
          <w:lang w:val="en-US" w:eastAsia="zh-CN"/>
        </w:rPr>
        <w:t>20</w:t>
      </w:r>
      <w:r>
        <w:rPr>
          <w:rFonts w:hint="default" w:ascii="Times New Roman" w:hAnsi="Times New Roman" w:eastAsia="仿宋_GB2312" w:cs="Times New Roman"/>
          <w:sz w:val="32"/>
          <w:szCs w:val="32"/>
        </w:rPr>
        <w:t>分。</w:t>
      </w:r>
    </w:p>
    <w:p w14:paraId="1793743B">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（3）确定指标标准值</w:t>
      </w:r>
    </w:p>
    <w:p w14:paraId="5B420741">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指标标准值是绩效评价指标的尺度，既要反映同类项目的先进水平，又要符合项目的实际绩效水平。具体采用计划标准等确定此次绩效评价指标标准值。</w:t>
      </w:r>
    </w:p>
    <w:p w14:paraId="32018185">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绩效评价总分值100分，根据综合评分结果，90（含）-100分为优、80（含）-90分为良、60（含）-80分为中、60分以下为差。</w:t>
      </w:r>
    </w:p>
    <w:p w14:paraId="0F8D72EF">
      <w:pPr>
        <w:keepNext w:val="0"/>
        <w:keepLines w:val="0"/>
        <w:pageBreakBefore w:val="0"/>
        <w:widowControl w:val="0"/>
        <w:kinsoku/>
        <w:wordWrap w:val="0"/>
        <w:overflowPunct/>
        <w:topLinePunct/>
        <w:autoSpaceDE/>
        <w:autoSpaceDN/>
        <w:bidi w:val="0"/>
        <w:adjustRightInd/>
        <w:snapToGrid/>
        <w:spacing w:line="560" w:lineRule="exact"/>
        <w:ind w:firstLine="643" w:firstLineChars="200"/>
        <w:textAlignment w:val="auto"/>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3</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b/>
          <w:bCs/>
          <w:sz w:val="32"/>
          <w:szCs w:val="32"/>
        </w:rPr>
        <w:t>绩效评价方法</w:t>
      </w:r>
    </w:p>
    <w:p w14:paraId="3ABACE7A">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绩效评价从项目决策、项目过程、项目产出、项目效益四个维度进行评价。评价对象为项目目标实施情况，评价核心为资金的支出完成情况和项目的产出效益。</w:t>
      </w:r>
    </w:p>
    <w:p w14:paraId="157BC2C3">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rPr>
        <w:t>本次绩效评价采用的方法比较法</w:t>
      </w:r>
      <w:r>
        <w:rPr>
          <w:rFonts w:hint="default" w:ascii="Times New Roman" w:hAnsi="Times New Roman" w:eastAsia="仿宋_GB2312" w:cs="Times New Roman"/>
          <w:sz w:val="32"/>
          <w:szCs w:val="32"/>
          <w:lang w:eastAsia="zh-CN"/>
        </w:rPr>
        <w:t>、因素分析法、公众评判法</w:t>
      </w:r>
      <w:r>
        <w:rPr>
          <w:rFonts w:hint="default" w:ascii="Times New Roman" w:hAnsi="Times New Roman" w:eastAsia="仿宋_GB2312" w:cs="Times New Roman"/>
          <w:sz w:val="32"/>
          <w:szCs w:val="32"/>
          <w:lang w:val="en-US" w:eastAsia="zh-CN"/>
        </w:rPr>
        <w:t>对项目绩效目标预期指标值与实施情况进行比较，以及采取公众问卷及抽样调查等方式进行评判的方法对昌州财建（2023）135号关于提前下达2024年中央林业草原改革发展资金预算的投资项目进行评价。</w:t>
      </w:r>
    </w:p>
    <w:p w14:paraId="762BF4B1">
      <w:pPr>
        <w:keepNext w:val="0"/>
        <w:keepLines w:val="0"/>
        <w:pageBreakBefore w:val="0"/>
        <w:widowControl w:val="0"/>
        <w:kinsoku/>
        <w:wordWrap w:val="0"/>
        <w:overflowPunct/>
        <w:topLinePunct/>
        <w:autoSpaceDE/>
        <w:autoSpaceDN/>
        <w:bidi w:val="0"/>
        <w:adjustRightInd/>
        <w:snapToGrid/>
        <w:spacing w:line="560" w:lineRule="exact"/>
        <w:ind w:firstLine="643" w:firstLineChars="200"/>
        <w:textAlignment w:val="auto"/>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4</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b/>
          <w:bCs/>
          <w:sz w:val="32"/>
          <w:szCs w:val="32"/>
        </w:rPr>
        <w:t>评价标准</w:t>
      </w:r>
    </w:p>
    <w:p w14:paraId="286C8F41">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绩效评价标准通常包括计划标准、行业标准、历史标准等，用于对绩效指标完成情况进行比较、分析、评价。本次评价主要采用了</w:t>
      </w:r>
      <w:r>
        <w:rPr>
          <w:rFonts w:hint="default" w:ascii="Times New Roman" w:hAnsi="Times New Roman" w:eastAsia="仿宋_GB2312" w:cs="Times New Roman"/>
          <w:sz w:val="32"/>
          <w:szCs w:val="32"/>
          <w:lang w:val="en-US" w:eastAsia="zh-CN"/>
        </w:rPr>
        <w:t>计划标准</w:t>
      </w:r>
      <w:r>
        <w:rPr>
          <w:rFonts w:hint="default" w:ascii="Times New Roman" w:hAnsi="Times New Roman" w:eastAsia="仿宋_GB2312" w:cs="Times New Roman"/>
          <w:sz w:val="32"/>
          <w:szCs w:val="32"/>
        </w:rPr>
        <w:t>。</w:t>
      </w:r>
    </w:p>
    <w:p w14:paraId="582D1502">
      <w:pPr>
        <w:keepNext w:val="0"/>
        <w:keepLines w:val="0"/>
        <w:pageBreakBefore w:val="0"/>
        <w:widowControl w:val="0"/>
        <w:kinsoku/>
        <w:wordWrap w:val="0"/>
        <w:overflowPunct/>
        <w:topLinePunct/>
        <w:autoSpaceDE/>
        <w:autoSpaceDN/>
        <w:bidi w:val="0"/>
        <w:adjustRightInd/>
        <w:snapToGrid/>
        <w:spacing w:line="560" w:lineRule="exact"/>
        <w:ind w:firstLine="643" w:firstLineChars="200"/>
        <w:textAlignment w:val="auto"/>
        <w:rPr>
          <w:rFonts w:hint="eastAsia" w:ascii="楷体" w:hAnsi="楷体" w:eastAsia="楷体" w:cs="楷体"/>
          <w:b/>
          <w:bCs/>
          <w:sz w:val="32"/>
          <w:szCs w:val="32"/>
        </w:rPr>
      </w:pPr>
      <w:r>
        <w:rPr>
          <w:rFonts w:hint="eastAsia" w:ascii="楷体" w:hAnsi="楷体" w:eastAsia="楷体" w:cs="楷体"/>
          <w:b/>
          <w:bCs/>
          <w:sz w:val="32"/>
          <w:szCs w:val="32"/>
          <w:lang w:val="en-US" w:eastAsia="zh-CN"/>
        </w:rPr>
        <w:t>（三）绩效评价工作过程</w:t>
      </w:r>
    </w:p>
    <w:p w14:paraId="277296AF">
      <w:pPr>
        <w:keepNext w:val="0"/>
        <w:keepLines w:val="0"/>
        <w:pageBreakBefore w:val="0"/>
        <w:widowControl w:val="0"/>
        <w:kinsoku/>
        <w:wordWrap w:val="0"/>
        <w:overflowPunct/>
        <w:topLinePunct/>
        <w:autoSpaceDE/>
        <w:autoSpaceDN/>
        <w:bidi w:val="0"/>
        <w:adjustRightInd/>
        <w:snapToGrid/>
        <w:spacing w:line="560" w:lineRule="exact"/>
        <w:ind w:firstLine="643" w:firstLineChars="200"/>
        <w:textAlignment w:val="auto"/>
        <w:rPr>
          <w:rFonts w:hint="default" w:ascii="Times New Roman" w:hAnsi="Times New Roman" w:eastAsia="仿宋_GB2312" w:cs="Times New Roman"/>
          <w:b/>
          <w:bCs/>
          <w:sz w:val="32"/>
          <w:szCs w:val="32"/>
          <w:lang w:eastAsia="zh-CN"/>
        </w:rPr>
      </w:pPr>
      <w:r>
        <w:rPr>
          <w:rFonts w:hint="default" w:ascii="Times New Roman" w:hAnsi="Times New Roman" w:eastAsia="仿宋_GB2312" w:cs="Times New Roman"/>
          <w:b/>
          <w:bCs/>
          <w:sz w:val="32"/>
          <w:szCs w:val="32"/>
          <w:lang w:eastAsia="zh-CN"/>
        </w:rPr>
        <w:t>1.前期准备阶段</w:t>
      </w:r>
    </w:p>
    <w:p w14:paraId="3173D99F">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eastAsia="zh-CN"/>
        </w:rPr>
        <w:t>（</w:t>
      </w:r>
      <w:r>
        <w:rPr>
          <w:rFonts w:hint="eastAsia" w:ascii="Times New Roman" w:hAnsi="Times New Roman" w:eastAsia="仿宋_GB2312" w:cs="Times New Roman"/>
          <w:sz w:val="32"/>
          <w:szCs w:val="32"/>
          <w:lang w:val="en-US" w:eastAsia="zh-CN"/>
        </w:rPr>
        <w:t>1</w:t>
      </w:r>
      <w:r>
        <w:rPr>
          <w:rFonts w:hint="eastAsia"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lang w:eastAsia="zh-CN"/>
        </w:rPr>
        <w:t>明确评价目标与需求：与政府主管部门、</w:t>
      </w:r>
      <w:r>
        <w:rPr>
          <w:rFonts w:hint="default" w:ascii="Times New Roman" w:hAnsi="Times New Roman" w:eastAsia="仿宋_GB2312" w:cs="Times New Roman"/>
          <w:sz w:val="32"/>
          <w:szCs w:val="32"/>
          <w:lang w:val="en-US" w:eastAsia="zh-CN"/>
        </w:rPr>
        <w:t>与退耕还林户沟通，</w:t>
      </w:r>
      <w:r>
        <w:rPr>
          <w:rFonts w:hint="default" w:ascii="Times New Roman" w:hAnsi="Times New Roman" w:eastAsia="仿宋_GB2312" w:cs="Times New Roman"/>
          <w:sz w:val="32"/>
          <w:szCs w:val="32"/>
          <w:lang w:eastAsia="zh-CN"/>
        </w:rPr>
        <w:t>确定本次绩效评价是侧重生态效益评估、经济效益分析，还是社会效益反馈，明确评价需解决的核心问题，如退耕还林工程是否达到预期的生态修复目标，农民生活水平是否得到提升，确定评价对象与范围：界定具体的评价对象，明确地理范围、时间跨度以及涉及的具体内容，包括造林工程、后续产业发展、政策执行等方面。</w:t>
      </w:r>
    </w:p>
    <w:p w14:paraId="3592E598">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eastAsia="zh-CN"/>
        </w:rPr>
        <w:t>（</w:t>
      </w:r>
      <w:r>
        <w:rPr>
          <w:rFonts w:hint="eastAsia" w:ascii="Times New Roman" w:hAnsi="Times New Roman" w:eastAsia="仿宋_GB2312" w:cs="Times New Roman"/>
          <w:sz w:val="32"/>
          <w:szCs w:val="32"/>
          <w:lang w:val="en-US" w:eastAsia="zh-CN"/>
        </w:rPr>
        <w:t>2</w:t>
      </w:r>
      <w:r>
        <w:rPr>
          <w:rFonts w:hint="eastAsia"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lang w:eastAsia="zh-CN"/>
        </w:rPr>
        <w:t>组建专业评价团队：团队成员涵盖林业专家、生态学家、经济学家、社会学家、财务专家等，确保从多学科视角进行综合评价。同时，邀请熟悉当地情况的基层工作人员或第三方评估机构加入，增强评价的专业性和客观性。</w:t>
      </w:r>
    </w:p>
    <w:p w14:paraId="3E20E4F1">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eastAsia="zh-CN"/>
        </w:rPr>
        <w:t>（</w:t>
      </w:r>
      <w:r>
        <w:rPr>
          <w:rFonts w:hint="eastAsia" w:ascii="Times New Roman" w:hAnsi="Times New Roman" w:eastAsia="仿宋_GB2312" w:cs="Times New Roman"/>
          <w:sz w:val="32"/>
          <w:szCs w:val="32"/>
          <w:lang w:val="en-US" w:eastAsia="zh-CN"/>
        </w:rPr>
        <w:t>3</w:t>
      </w:r>
      <w:r>
        <w:rPr>
          <w:rFonts w:hint="eastAsia"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lang w:eastAsia="zh-CN"/>
        </w:rPr>
        <w:t>设计评价指标体系：依据评价目标，构建全面的指标体系，涵盖生态（如森林覆盖率、土壤侵蚀减少量）、经济（如农民收入变化、产业发展规模）、社会（如就业结构改变、</w:t>
      </w:r>
      <w:r>
        <w:rPr>
          <w:rFonts w:hint="default" w:ascii="Times New Roman" w:hAnsi="Times New Roman" w:eastAsia="仿宋_GB2312" w:cs="Times New Roman"/>
          <w:sz w:val="32"/>
          <w:szCs w:val="32"/>
          <w:lang w:val="en-US" w:eastAsia="zh-CN"/>
        </w:rPr>
        <w:t>退耕户</w:t>
      </w:r>
      <w:r>
        <w:rPr>
          <w:rFonts w:hint="default" w:ascii="Times New Roman" w:hAnsi="Times New Roman" w:eastAsia="仿宋_GB2312" w:cs="Times New Roman"/>
          <w:sz w:val="32"/>
          <w:szCs w:val="32"/>
          <w:lang w:eastAsia="zh-CN"/>
        </w:rPr>
        <w:t>满意度）等维度，并确定各指标的权重和计算方法。</w:t>
      </w:r>
    </w:p>
    <w:p w14:paraId="167D6179">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eastAsia="zh-CN"/>
        </w:rPr>
        <w:t>（</w:t>
      </w:r>
      <w:r>
        <w:rPr>
          <w:rFonts w:hint="eastAsia" w:ascii="Times New Roman" w:hAnsi="Times New Roman" w:eastAsia="仿宋_GB2312" w:cs="Times New Roman"/>
          <w:sz w:val="32"/>
          <w:szCs w:val="32"/>
          <w:lang w:val="en-US" w:eastAsia="zh-CN"/>
        </w:rPr>
        <w:t>4</w:t>
      </w:r>
      <w:r>
        <w:rPr>
          <w:rFonts w:hint="eastAsia"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lang w:eastAsia="zh-CN"/>
        </w:rPr>
        <w:t>制定评价方案：规划评价工作的具体流程、时间安排、人员分工、数据收集方法和预算等，确保评价工作有序推进。</w:t>
      </w:r>
    </w:p>
    <w:p w14:paraId="7F8BBC41">
      <w:pPr>
        <w:keepNext w:val="0"/>
        <w:keepLines w:val="0"/>
        <w:pageBreakBefore w:val="0"/>
        <w:widowControl w:val="0"/>
        <w:kinsoku/>
        <w:wordWrap w:val="0"/>
        <w:overflowPunct/>
        <w:topLinePunct/>
        <w:autoSpaceDE/>
        <w:autoSpaceDN/>
        <w:bidi w:val="0"/>
        <w:adjustRightInd/>
        <w:snapToGrid/>
        <w:spacing w:line="560" w:lineRule="exact"/>
        <w:ind w:firstLine="643" w:firstLineChars="200"/>
        <w:textAlignment w:val="auto"/>
        <w:rPr>
          <w:rFonts w:hint="default" w:ascii="Times New Roman" w:hAnsi="Times New Roman" w:eastAsia="仿宋_GB2312" w:cs="Times New Roman"/>
          <w:b/>
          <w:bCs/>
          <w:sz w:val="32"/>
          <w:szCs w:val="32"/>
          <w:lang w:eastAsia="zh-CN"/>
        </w:rPr>
      </w:pPr>
      <w:r>
        <w:rPr>
          <w:rFonts w:hint="default" w:ascii="Times New Roman" w:hAnsi="Times New Roman" w:eastAsia="仿宋_GB2312" w:cs="Times New Roman"/>
          <w:b/>
          <w:bCs/>
          <w:sz w:val="32"/>
          <w:szCs w:val="32"/>
          <w:lang w:eastAsia="zh-CN"/>
        </w:rPr>
        <w:t>2.数据收集阶段</w:t>
      </w:r>
    </w:p>
    <w:p w14:paraId="491B24C2">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eastAsia="zh-CN"/>
        </w:rPr>
        <w:t>（</w:t>
      </w:r>
      <w:r>
        <w:rPr>
          <w:rFonts w:hint="eastAsia" w:ascii="Times New Roman" w:hAnsi="Times New Roman" w:eastAsia="仿宋_GB2312" w:cs="Times New Roman"/>
          <w:sz w:val="32"/>
          <w:szCs w:val="32"/>
          <w:lang w:val="en-US" w:eastAsia="zh-CN"/>
        </w:rPr>
        <w:t>1</w:t>
      </w:r>
      <w:r>
        <w:rPr>
          <w:rFonts w:hint="eastAsia"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lang w:eastAsia="zh-CN"/>
        </w:rPr>
        <w:t>收集现有资料：整理政府部门的统计报表、项目规划文件、验收报告、监测数据，以及科研机构的相关研究成果等，获取项目实施过程中的基础信息。</w:t>
      </w:r>
    </w:p>
    <w:p w14:paraId="0AE95791">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eastAsia="zh-CN"/>
        </w:rPr>
        <w:t>（</w:t>
      </w:r>
      <w:r>
        <w:rPr>
          <w:rFonts w:hint="eastAsia" w:ascii="Times New Roman" w:hAnsi="Times New Roman" w:eastAsia="仿宋_GB2312" w:cs="Times New Roman"/>
          <w:sz w:val="32"/>
          <w:szCs w:val="32"/>
          <w:lang w:val="en-US" w:eastAsia="zh-CN"/>
        </w:rPr>
        <w:t>2</w:t>
      </w:r>
      <w:r>
        <w:rPr>
          <w:rFonts w:hint="eastAsia"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lang w:eastAsia="zh-CN"/>
        </w:rPr>
        <w:t>实地调研与勘察：评价团队深入退耕还林区域，通过实地测量、采样分析等方式，获取森林生长状况、植被覆盖、土壤质量等生态数据；考察当地相关产业发展情况，记录产业规模、经营模式和收益等信息。</w:t>
      </w:r>
    </w:p>
    <w:p w14:paraId="3BE65BBA">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eastAsia="zh-CN"/>
        </w:rPr>
        <w:t>（</w:t>
      </w:r>
      <w:r>
        <w:rPr>
          <w:rFonts w:hint="eastAsia" w:ascii="Times New Roman" w:hAnsi="Times New Roman" w:eastAsia="仿宋_GB2312" w:cs="Times New Roman"/>
          <w:sz w:val="32"/>
          <w:szCs w:val="32"/>
          <w:lang w:val="en-US" w:eastAsia="zh-CN"/>
        </w:rPr>
        <w:t>3</w:t>
      </w:r>
      <w:r>
        <w:rPr>
          <w:rFonts w:hint="eastAsia"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lang w:eastAsia="zh-CN"/>
        </w:rPr>
        <w:t>问卷调查与访谈：设计针对</w:t>
      </w:r>
      <w:r>
        <w:rPr>
          <w:rFonts w:hint="default" w:ascii="Times New Roman" w:hAnsi="Times New Roman" w:eastAsia="仿宋_GB2312" w:cs="Times New Roman"/>
          <w:sz w:val="32"/>
          <w:szCs w:val="32"/>
          <w:lang w:val="en-US" w:eastAsia="zh-CN"/>
        </w:rPr>
        <w:t>退耕户</w:t>
      </w:r>
      <w:r>
        <w:rPr>
          <w:rFonts w:hint="default" w:ascii="Times New Roman" w:hAnsi="Times New Roman" w:eastAsia="仿宋_GB2312" w:cs="Times New Roman"/>
          <w:sz w:val="32"/>
          <w:szCs w:val="32"/>
          <w:lang w:eastAsia="zh-CN"/>
        </w:rPr>
        <w:t>、基层干部和相关企业的问卷，了解农民的退耕还林参与情况、收入变化、对政策的认知和满意度；与基层干部和企业负责人访谈，获取政策执行过程中的问题和经验。</w:t>
      </w:r>
    </w:p>
    <w:p w14:paraId="5F35A68F">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eastAsia="zh-CN"/>
        </w:rPr>
        <w:t>（</w:t>
      </w:r>
      <w:r>
        <w:rPr>
          <w:rFonts w:hint="eastAsia" w:ascii="Times New Roman" w:hAnsi="Times New Roman" w:eastAsia="仿宋_GB2312" w:cs="Times New Roman"/>
          <w:sz w:val="32"/>
          <w:szCs w:val="32"/>
          <w:lang w:val="en-US" w:eastAsia="zh-CN"/>
        </w:rPr>
        <w:t>4</w:t>
      </w:r>
      <w:r>
        <w:rPr>
          <w:rFonts w:hint="eastAsia"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lang w:eastAsia="zh-CN"/>
        </w:rPr>
        <w:t>数据整理与校验：对收集到的数据进行分类整理，检查数据的完整性、准确性和一致性，剔除无效或错误数据，对缺失数据进行补充调查，确保数据质量可靠。</w:t>
      </w:r>
    </w:p>
    <w:p w14:paraId="788F6352">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eastAsia="zh-CN"/>
        </w:rPr>
        <w:t>（</w:t>
      </w:r>
      <w:r>
        <w:rPr>
          <w:rFonts w:hint="eastAsia" w:ascii="Times New Roman" w:hAnsi="Times New Roman" w:eastAsia="仿宋_GB2312" w:cs="Times New Roman"/>
          <w:sz w:val="32"/>
          <w:szCs w:val="32"/>
          <w:lang w:val="en-US" w:eastAsia="zh-CN"/>
        </w:rPr>
        <w:t>5</w:t>
      </w:r>
      <w:r>
        <w:rPr>
          <w:rFonts w:hint="eastAsia"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lang w:eastAsia="zh-CN"/>
        </w:rPr>
        <w:t>绩效评估：根据评价指标体系和计算结果，对照项目预期目标和相关标准，对退耕还林项目的生态、经济和社会效益进行综合评价，分析各项指标是否达标，评估项目的实施效果和存在问题。</w:t>
      </w:r>
    </w:p>
    <w:p w14:paraId="1C082EDF">
      <w:pPr>
        <w:keepNext w:val="0"/>
        <w:keepLines w:val="0"/>
        <w:pageBreakBefore w:val="0"/>
        <w:widowControl w:val="0"/>
        <w:kinsoku/>
        <w:wordWrap w:val="0"/>
        <w:overflowPunct/>
        <w:topLinePunct/>
        <w:autoSpaceDE/>
        <w:autoSpaceDN/>
        <w:bidi w:val="0"/>
        <w:adjustRightInd/>
        <w:snapToGrid/>
        <w:spacing w:line="560" w:lineRule="exact"/>
        <w:ind w:firstLine="643" w:firstLineChars="200"/>
        <w:textAlignment w:val="auto"/>
        <w:rPr>
          <w:rFonts w:hint="default" w:ascii="Times New Roman" w:hAnsi="Times New Roman" w:eastAsia="仿宋_GB2312" w:cs="Times New Roman"/>
          <w:b/>
          <w:bCs/>
          <w:sz w:val="32"/>
          <w:szCs w:val="32"/>
          <w:lang w:eastAsia="zh-CN"/>
        </w:rPr>
      </w:pPr>
      <w:r>
        <w:rPr>
          <w:rFonts w:hint="default" w:ascii="Times New Roman" w:hAnsi="Times New Roman" w:eastAsia="仿宋_GB2312" w:cs="Times New Roman"/>
          <w:b/>
          <w:bCs/>
          <w:sz w:val="32"/>
          <w:szCs w:val="32"/>
          <w:lang w:val="en-US" w:eastAsia="zh-CN"/>
        </w:rPr>
        <w:t>3</w:t>
      </w:r>
      <w:r>
        <w:rPr>
          <w:rFonts w:hint="default" w:ascii="Times New Roman" w:hAnsi="Times New Roman" w:eastAsia="仿宋_GB2312" w:cs="Times New Roman"/>
          <w:b/>
          <w:bCs/>
          <w:sz w:val="32"/>
          <w:szCs w:val="32"/>
          <w:lang w:eastAsia="zh-CN"/>
        </w:rPr>
        <w:t>.报告撰写阶段</w:t>
      </w:r>
    </w:p>
    <w:p w14:paraId="09B1CF87">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eastAsia="zh-CN"/>
        </w:rPr>
        <w:t>（</w:t>
      </w:r>
      <w:r>
        <w:rPr>
          <w:rFonts w:hint="eastAsia" w:ascii="Times New Roman" w:hAnsi="Times New Roman" w:eastAsia="仿宋_GB2312" w:cs="Times New Roman"/>
          <w:sz w:val="32"/>
          <w:szCs w:val="32"/>
          <w:lang w:val="en-US" w:eastAsia="zh-CN"/>
        </w:rPr>
        <w:t>1</w:t>
      </w:r>
      <w:r>
        <w:rPr>
          <w:rFonts w:hint="eastAsia"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lang w:eastAsia="zh-CN"/>
        </w:rPr>
        <w:t>总结评价结果：对分析评价阶段得出的结论进行系统总结，阐述退耕还林项目在生态、经济、社会等方面取得的成效，明确项目实施过程中存在的问题和不足。</w:t>
      </w:r>
    </w:p>
    <w:p w14:paraId="0BDAB14D">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eastAsia="zh-CN"/>
        </w:rPr>
        <w:t>（</w:t>
      </w:r>
      <w:r>
        <w:rPr>
          <w:rFonts w:hint="eastAsia" w:ascii="Times New Roman" w:hAnsi="Times New Roman" w:eastAsia="仿宋_GB2312" w:cs="Times New Roman"/>
          <w:sz w:val="32"/>
          <w:szCs w:val="32"/>
          <w:lang w:val="en-US" w:eastAsia="zh-CN"/>
        </w:rPr>
        <w:t>2</w:t>
      </w:r>
      <w:r>
        <w:rPr>
          <w:rFonts w:hint="eastAsia"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lang w:eastAsia="zh-CN"/>
        </w:rPr>
        <w:t>提出建议与对策：针对发现的问题，结合实际情况，提出切实可行的改进建议和优化对策，如调整树种结构以提高生态效益、加强后续产业扶持以增加农民收入等。</w:t>
      </w:r>
    </w:p>
    <w:p w14:paraId="50695121">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eastAsia="zh-CN"/>
        </w:rPr>
        <w:t>（</w:t>
      </w:r>
      <w:r>
        <w:rPr>
          <w:rFonts w:hint="eastAsia" w:ascii="Times New Roman" w:hAnsi="Times New Roman" w:eastAsia="仿宋_GB2312" w:cs="Times New Roman"/>
          <w:sz w:val="32"/>
          <w:szCs w:val="32"/>
          <w:lang w:val="en-US" w:eastAsia="zh-CN"/>
        </w:rPr>
        <w:t>3</w:t>
      </w:r>
      <w:r>
        <w:rPr>
          <w:rFonts w:hint="eastAsia"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lang w:eastAsia="zh-CN"/>
        </w:rPr>
        <w:t>撰写绩效评价报告：按照规范的报告格式，详细阐述评价目的、方法、过程、结果、建议等内容，确保报告内容详实、逻辑清晰、结论客观，为政策制定者和项目管理者提供决策依据。</w:t>
      </w:r>
    </w:p>
    <w:p w14:paraId="2730BDCE">
      <w:pPr>
        <w:keepNext w:val="0"/>
        <w:keepLines w:val="0"/>
        <w:pageBreakBefore w:val="0"/>
        <w:widowControl w:val="0"/>
        <w:kinsoku/>
        <w:wordWrap w:val="0"/>
        <w:overflowPunct/>
        <w:topLinePunct/>
        <w:autoSpaceDE/>
        <w:autoSpaceDN/>
        <w:bidi w:val="0"/>
        <w:adjustRightInd/>
        <w:snapToGrid/>
        <w:spacing w:line="560" w:lineRule="exact"/>
        <w:ind w:firstLine="643" w:firstLineChars="200"/>
        <w:textAlignment w:val="auto"/>
        <w:rPr>
          <w:rFonts w:hint="default" w:ascii="Times New Roman" w:hAnsi="Times New Roman" w:eastAsia="仿宋_GB2312" w:cs="Times New Roman"/>
          <w:b/>
          <w:bCs/>
          <w:sz w:val="32"/>
          <w:szCs w:val="32"/>
          <w:lang w:eastAsia="zh-CN"/>
        </w:rPr>
      </w:pPr>
      <w:r>
        <w:rPr>
          <w:rFonts w:hint="default" w:ascii="Times New Roman" w:hAnsi="Times New Roman" w:eastAsia="仿宋_GB2312" w:cs="Times New Roman"/>
          <w:b/>
          <w:bCs/>
          <w:sz w:val="32"/>
          <w:szCs w:val="32"/>
          <w:lang w:val="en-US" w:eastAsia="zh-CN"/>
        </w:rPr>
        <w:t>4</w:t>
      </w:r>
      <w:r>
        <w:rPr>
          <w:rFonts w:hint="default" w:ascii="Times New Roman" w:hAnsi="Times New Roman" w:eastAsia="仿宋_GB2312" w:cs="Times New Roman"/>
          <w:b/>
          <w:bCs/>
          <w:sz w:val="32"/>
          <w:szCs w:val="32"/>
          <w:lang w:eastAsia="zh-CN"/>
        </w:rPr>
        <w:t>.结果反馈与应用阶段</w:t>
      </w:r>
    </w:p>
    <w:p w14:paraId="3204EF54">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eastAsia="zh-CN"/>
        </w:rPr>
        <w:t>（</w:t>
      </w:r>
      <w:r>
        <w:rPr>
          <w:rFonts w:hint="eastAsia" w:ascii="Times New Roman" w:hAnsi="Times New Roman" w:eastAsia="仿宋_GB2312" w:cs="Times New Roman"/>
          <w:sz w:val="32"/>
          <w:szCs w:val="32"/>
          <w:lang w:val="en-US" w:eastAsia="zh-CN"/>
        </w:rPr>
        <w:t>1</w:t>
      </w:r>
      <w:r>
        <w:rPr>
          <w:rFonts w:hint="eastAsia"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lang w:eastAsia="zh-CN"/>
        </w:rPr>
        <w:t>汇报与反馈：向政府部门、项目实施单位和其他利益相关方汇报评价结果，通过会议、报告解读等形式，详细说明评价结论和建议，听取各方意见和反馈。</w:t>
      </w:r>
    </w:p>
    <w:p w14:paraId="1CF7C6F6">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eastAsia="zh-CN"/>
        </w:rPr>
        <w:t>（</w:t>
      </w:r>
      <w:r>
        <w:rPr>
          <w:rFonts w:hint="eastAsia" w:ascii="Times New Roman" w:hAnsi="Times New Roman" w:eastAsia="仿宋_GB2312" w:cs="Times New Roman"/>
          <w:sz w:val="32"/>
          <w:szCs w:val="32"/>
          <w:lang w:val="en-US" w:eastAsia="zh-CN"/>
        </w:rPr>
        <w:t>2</w:t>
      </w:r>
      <w:r>
        <w:rPr>
          <w:rFonts w:hint="eastAsia"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lang w:eastAsia="zh-CN"/>
        </w:rPr>
        <w:t>结果应用：相关部门根据评价结果，调整和完善退耕还林政策和项目实施方案，优化资源配置，改进管理措施，推动退耕还林工作持续健康发展；同时，将评价结果作为后续项目立项、资金分配的重要参考依据。</w:t>
      </w:r>
    </w:p>
    <w:p w14:paraId="5D63A837">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lang w:val="en-US" w:eastAsia="zh-CN"/>
        </w:rPr>
        <w:t>三、</w:t>
      </w:r>
      <w:r>
        <w:rPr>
          <w:rFonts w:hint="eastAsia" w:ascii="黑体" w:hAnsi="黑体" w:eastAsia="黑体" w:cs="黑体"/>
          <w:sz w:val="32"/>
          <w:szCs w:val="32"/>
        </w:rPr>
        <w:t>综合评价情况及评价结论（附相关评分表）</w:t>
      </w:r>
    </w:p>
    <w:p w14:paraId="3B3DF578">
      <w:pPr>
        <w:keepNext w:val="0"/>
        <w:keepLines w:val="0"/>
        <w:pageBreakBefore w:val="0"/>
        <w:widowControl w:val="0"/>
        <w:kinsoku/>
        <w:wordWrap w:val="0"/>
        <w:overflowPunct/>
        <w:topLinePunct/>
        <w:autoSpaceDE/>
        <w:autoSpaceDN/>
        <w:bidi w:val="0"/>
        <w:adjustRightInd/>
        <w:snapToGrid/>
        <w:spacing w:line="560" w:lineRule="exact"/>
        <w:ind w:firstLine="643" w:firstLineChars="200"/>
        <w:textAlignment w:val="auto"/>
        <w:rPr>
          <w:rFonts w:hint="eastAsia" w:ascii="楷体" w:hAnsi="楷体" w:eastAsia="楷体" w:cs="楷体"/>
          <w:b/>
          <w:bCs/>
          <w:sz w:val="32"/>
          <w:szCs w:val="32"/>
          <w:lang w:val="en-US" w:eastAsia="zh-CN"/>
        </w:rPr>
      </w:pPr>
      <w:r>
        <w:rPr>
          <w:rFonts w:hint="eastAsia" w:ascii="楷体" w:hAnsi="楷体" w:eastAsia="楷体" w:cs="楷体"/>
          <w:b/>
          <w:bCs/>
          <w:sz w:val="32"/>
          <w:szCs w:val="32"/>
          <w:lang w:eastAsia="zh-CN"/>
        </w:rPr>
        <w:t>（</w:t>
      </w:r>
      <w:r>
        <w:rPr>
          <w:rFonts w:hint="eastAsia" w:ascii="楷体" w:hAnsi="楷体" w:eastAsia="楷体" w:cs="楷体"/>
          <w:b/>
          <w:bCs/>
          <w:sz w:val="32"/>
          <w:szCs w:val="32"/>
          <w:lang w:val="en-US" w:eastAsia="zh-CN"/>
        </w:rPr>
        <w:t>一</w:t>
      </w:r>
      <w:r>
        <w:rPr>
          <w:rFonts w:hint="eastAsia" w:ascii="楷体" w:hAnsi="楷体" w:eastAsia="楷体" w:cs="楷体"/>
          <w:b/>
          <w:bCs/>
          <w:sz w:val="32"/>
          <w:szCs w:val="32"/>
          <w:lang w:eastAsia="zh-CN"/>
        </w:rPr>
        <w:t>）</w:t>
      </w:r>
      <w:r>
        <w:rPr>
          <w:rFonts w:hint="eastAsia" w:ascii="楷体" w:hAnsi="楷体" w:eastAsia="楷体" w:cs="楷体"/>
          <w:b/>
          <w:bCs/>
          <w:sz w:val="32"/>
          <w:szCs w:val="32"/>
          <w:lang w:val="en-US" w:eastAsia="zh-CN"/>
        </w:rPr>
        <w:t>评价情况</w:t>
      </w:r>
    </w:p>
    <w:p w14:paraId="4D2F6121">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本项目的综合评价基于对项目各方面绩效的深入分析与评估。从项目目标的达成情况来看，昌州财建（2023）135号关于提前下达2024年中央林业草原改革发展资金预算的投资在</w:t>
      </w:r>
      <w:r>
        <w:rPr>
          <w:rFonts w:hint="default" w:ascii="Times New Roman" w:hAnsi="Times New Roman" w:eastAsia="仿宋_GB2312" w:cs="Times New Roman"/>
          <w:sz w:val="32"/>
          <w:szCs w:val="32"/>
          <w:lang w:val="en-US" w:eastAsia="zh-CN"/>
        </w:rPr>
        <w:t>产出指标</w:t>
      </w:r>
      <w:r>
        <w:rPr>
          <w:rFonts w:hint="default" w:ascii="Times New Roman" w:hAnsi="Times New Roman" w:eastAsia="仿宋_GB2312" w:cs="Times New Roman"/>
          <w:sz w:val="32"/>
          <w:szCs w:val="32"/>
        </w:rPr>
        <w:t>、</w:t>
      </w:r>
      <w:r>
        <w:rPr>
          <w:rFonts w:hint="default" w:ascii="Times New Roman" w:hAnsi="Times New Roman" w:eastAsia="仿宋_GB2312" w:cs="Times New Roman"/>
          <w:sz w:val="32"/>
          <w:szCs w:val="32"/>
          <w:lang w:val="en-US" w:eastAsia="zh-CN"/>
        </w:rPr>
        <w:t>成本指标和效益指标</w:t>
      </w:r>
      <w:r>
        <w:rPr>
          <w:rFonts w:hint="default" w:ascii="Times New Roman" w:hAnsi="Times New Roman" w:eastAsia="仿宋_GB2312" w:cs="Times New Roman"/>
          <w:sz w:val="32"/>
          <w:szCs w:val="32"/>
        </w:rPr>
        <w:t>等方面表现出色，达到了预期的标准与要求。2024年6月份林草局组织技术人员，各乡镇林业专干配合对新一轮退耕还林进行成活率的验收，验收完成后，对合格地块进行核算，发放退耕还林补助资金1300.21万元，新一轮退耕还林还草延长补助标准为100元/亩，有效改善生态环境，缓解农户收入压力</w:t>
      </w:r>
      <w:r>
        <w:rPr>
          <w:rFonts w:hint="eastAsia" w:eastAsia="仿宋_GB2312" w:cs="Times New Roman"/>
          <w:sz w:val="32"/>
          <w:szCs w:val="32"/>
          <w:lang w:eastAsia="zh-CN"/>
        </w:rPr>
        <w:t>，</w:t>
      </w:r>
      <w:r>
        <w:rPr>
          <w:rFonts w:hint="default" w:ascii="Times New Roman" w:hAnsi="Times New Roman" w:eastAsia="仿宋_GB2312" w:cs="Times New Roman"/>
          <w:sz w:val="32"/>
          <w:szCs w:val="32"/>
        </w:rPr>
        <w:t>退耕农户政策满意度达到85%，对不合格地块及时告知退耕户，督促退耕户在秋季进行补植补造。</w:t>
      </w:r>
    </w:p>
    <w:p w14:paraId="51B3488A">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在项目管理方面，</w:t>
      </w:r>
      <w:r>
        <w:rPr>
          <w:rFonts w:hint="default" w:ascii="Times New Roman" w:hAnsi="Times New Roman" w:eastAsia="仿宋_GB2312" w:cs="Times New Roman"/>
          <w:sz w:val="32"/>
          <w:szCs w:val="32"/>
          <w:lang w:val="en-US" w:eastAsia="zh-CN"/>
        </w:rPr>
        <w:t>奇台县林业和草原局</w:t>
      </w:r>
      <w:r>
        <w:rPr>
          <w:rFonts w:hint="default" w:ascii="Times New Roman" w:hAnsi="Times New Roman" w:eastAsia="仿宋_GB2312" w:cs="Times New Roman"/>
          <w:sz w:val="32"/>
          <w:szCs w:val="32"/>
        </w:rPr>
        <w:t>通过有效的规划、组织与协调，项目得以顺利实施，并在预算与时间上保持了良好的控制。</w:t>
      </w:r>
    </w:p>
    <w:p w14:paraId="43965A0E">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从项目效益的角度来看，本项目不仅实现了预期的生态效益、方面产生了积极的影响。具体而言退耕还林通过生态修复与产业转型，实现“绿水青山”向“金山银山”的转化，是生态保护与乡村振兴协同发展的重要举措；减少水土流失，降低河流含沙量，如黄土高原地区实施后泥沙流失量显著下降；增加植被覆盖，调节局部气候，提升空气湿度，减缓温室效应。遏制土地荒漠化，北方风沙区退耕后，沙尘暴发生频率降低。国家提供退耕补贴（如现金、粮食补助），短期缓解农户收入压力。</w:t>
      </w:r>
    </w:p>
    <w:p w14:paraId="530A32EE">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综上所述，昌州财建（2023）135号关于提前下达2024年中央林业草原改革发展资金预算的投资</w:t>
      </w:r>
      <w:r>
        <w:rPr>
          <w:rFonts w:hint="default" w:ascii="Times New Roman" w:hAnsi="Times New Roman" w:eastAsia="仿宋_GB2312" w:cs="Times New Roman"/>
          <w:sz w:val="32"/>
          <w:szCs w:val="32"/>
          <w:lang w:val="en-US" w:eastAsia="zh-CN"/>
        </w:rPr>
        <w:t>项目</w:t>
      </w:r>
      <w:r>
        <w:rPr>
          <w:rFonts w:hint="default" w:ascii="Times New Roman" w:hAnsi="Times New Roman" w:eastAsia="仿宋_GB2312" w:cs="Times New Roman"/>
          <w:sz w:val="32"/>
          <w:szCs w:val="32"/>
        </w:rPr>
        <w:t>在绩效评价中表现出色，达到了项目的预期目标，并在多个方面取得了显著的成效。</w:t>
      </w:r>
    </w:p>
    <w:p w14:paraId="3A1C6CA3">
      <w:pPr>
        <w:keepNext w:val="0"/>
        <w:keepLines w:val="0"/>
        <w:pageBreakBefore w:val="0"/>
        <w:widowControl w:val="0"/>
        <w:kinsoku/>
        <w:wordWrap w:val="0"/>
        <w:overflowPunct/>
        <w:topLinePunct/>
        <w:autoSpaceDE/>
        <w:autoSpaceDN/>
        <w:bidi w:val="0"/>
        <w:adjustRightInd/>
        <w:snapToGrid/>
        <w:spacing w:line="560" w:lineRule="exact"/>
        <w:ind w:firstLine="643" w:firstLineChars="200"/>
        <w:textAlignment w:val="auto"/>
        <w:rPr>
          <w:rFonts w:hint="eastAsia" w:ascii="楷体" w:hAnsi="楷体" w:eastAsia="楷体" w:cs="楷体"/>
          <w:b/>
          <w:bCs/>
          <w:sz w:val="32"/>
          <w:szCs w:val="32"/>
          <w:lang w:val="en-US" w:eastAsia="zh-CN"/>
        </w:rPr>
      </w:pPr>
      <w:r>
        <w:rPr>
          <w:rFonts w:hint="eastAsia" w:ascii="楷体" w:hAnsi="楷体" w:eastAsia="楷体" w:cs="楷体"/>
          <w:b/>
          <w:bCs/>
          <w:sz w:val="32"/>
          <w:szCs w:val="32"/>
          <w:lang w:eastAsia="zh-CN"/>
        </w:rPr>
        <w:t>（</w:t>
      </w:r>
      <w:r>
        <w:rPr>
          <w:rFonts w:hint="eastAsia" w:ascii="楷体" w:hAnsi="楷体" w:eastAsia="楷体" w:cs="楷体"/>
          <w:b/>
          <w:bCs/>
          <w:sz w:val="32"/>
          <w:szCs w:val="32"/>
          <w:lang w:val="en-US" w:eastAsia="zh-CN"/>
        </w:rPr>
        <w:t>二</w:t>
      </w:r>
      <w:r>
        <w:rPr>
          <w:rFonts w:hint="eastAsia" w:ascii="楷体" w:hAnsi="楷体" w:eastAsia="楷体" w:cs="楷体"/>
          <w:b/>
          <w:bCs/>
          <w:sz w:val="32"/>
          <w:szCs w:val="32"/>
          <w:lang w:eastAsia="zh-CN"/>
        </w:rPr>
        <w:t>）</w:t>
      </w:r>
      <w:r>
        <w:rPr>
          <w:rFonts w:hint="eastAsia" w:ascii="楷体" w:hAnsi="楷体" w:eastAsia="楷体" w:cs="楷体"/>
          <w:b/>
          <w:bCs/>
          <w:sz w:val="32"/>
          <w:szCs w:val="32"/>
          <w:lang w:val="en-US" w:eastAsia="zh-CN"/>
        </w:rPr>
        <w:t>评价结论</w:t>
      </w:r>
    </w:p>
    <w:p w14:paraId="0A1392B4">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rPr>
        <w:t>运用绩效评价组制定的评价指标体系以及财政部《项目支出绩效评价管理办法》（财预〔2020〕10号）文件的评分标准，通过数据采集、问卷调查及访谈等方式，对本项目进行客观评价，最终评分结果：总得分为</w:t>
      </w:r>
      <w:r>
        <w:rPr>
          <w:rFonts w:hint="default" w:ascii="Times New Roman" w:hAnsi="Times New Roman" w:eastAsia="仿宋_GB2312" w:cs="Times New Roman"/>
          <w:sz w:val="32"/>
          <w:szCs w:val="32"/>
          <w:lang w:val="en-US" w:eastAsia="zh-CN"/>
        </w:rPr>
        <w:t>99.32</w:t>
      </w:r>
      <w:r>
        <w:rPr>
          <w:rFonts w:hint="default" w:ascii="Times New Roman" w:hAnsi="Times New Roman" w:eastAsia="仿宋_GB2312" w:cs="Times New Roman"/>
          <w:sz w:val="32"/>
          <w:szCs w:val="32"/>
        </w:rPr>
        <w:t>分，属于优。其中，项目决策类指标权重为</w:t>
      </w:r>
      <w:r>
        <w:rPr>
          <w:rFonts w:hint="default" w:ascii="Times New Roman" w:hAnsi="Times New Roman" w:eastAsia="仿宋_GB2312" w:cs="Times New Roman"/>
          <w:sz w:val="32"/>
          <w:szCs w:val="32"/>
          <w:lang w:val="en-US" w:eastAsia="zh-CN"/>
        </w:rPr>
        <w:t>20</w:t>
      </w:r>
      <w:r>
        <w:rPr>
          <w:rFonts w:hint="default" w:ascii="Times New Roman" w:hAnsi="Times New Roman" w:eastAsia="仿宋_GB2312" w:cs="Times New Roman"/>
          <w:sz w:val="32"/>
          <w:szCs w:val="32"/>
        </w:rPr>
        <w:t>分，得分</w:t>
      </w:r>
      <w:r>
        <w:rPr>
          <w:rFonts w:hint="default" w:ascii="Times New Roman" w:hAnsi="Times New Roman" w:eastAsia="仿宋_GB2312" w:cs="Times New Roman"/>
          <w:sz w:val="32"/>
          <w:szCs w:val="32"/>
          <w:highlight w:val="none"/>
        </w:rPr>
        <w:t>为</w:t>
      </w:r>
      <w:r>
        <w:rPr>
          <w:rFonts w:hint="default" w:ascii="Times New Roman" w:hAnsi="Times New Roman" w:eastAsia="仿宋_GB2312" w:cs="Times New Roman"/>
          <w:sz w:val="32"/>
          <w:szCs w:val="32"/>
          <w:highlight w:val="none"/>
          <w:lang w:val="en-US" w:eastAsia="zh-CN"/>
        </w:rPr>
        <w:t>20</w:t>
      </w:r>
      <w:r>
        <w:rPr>
          <w:rFonts w:hint="default" w:ascii="Times New Roman" w:hAnsi="Times New Roman" w:eastAsia="仿宋_GB2312" w:cs="Times New Roman"/>
          <w:sz w:val="32"/>
          <w:szCs w:val="32"/>
          <w:highlight w:val="none"/>
        </w:rPr>
        <w:t>分，得分率为</w:t>
      </w:r>
      <w:r>
        <w:rPr>
          <w:rFonts w:hint="default" w:ascii="Times New Roman" w:hAnsi="Times New Roman"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%。项目过程类指标权重为</w:t>
      </w:r>
      <w:r>
        <w:rPr>
          <w:rFonts w:hint="default" w:ascii="Times New Roman" w:hAnsi="Times New Roman" w:eastAsia="仿宋_GB2312" w:cs="Times New Roman"/>
          <w:sz w:val="32"/>
          <w:szCs w:val="32"/>
          <w:highlight w:val="none"/>
          <w:lang w:val="en-US" w:eastAsia="zh-CN"/>
        </w:rPr>
        <w:t>20</w:t>
      </w:r>
      <w:r>
        <w:rPr>
          <w:rFonts w:hint="default" w:ascii="Times New Roman" w:hAnsi="Times New Roman" w:eastAsia="仿宋_GB2312" w:cs="Times New Roman"/>
          <w:sz w:val="32"/>
          <w:szCs w:val="32"/>
          <w:highlight w:val="none"/>
        </w:rPr>
        <w:t>分，得分为</w:t>
      </w:r>
      <w:r>
        <w:rPr>
          <w:rFonts w:hint="default" w:ascii="Times New Roman" w:hAnsi="Times New Roman" w:eastAsia="仿宋_GB2312" w:cs="Times New Roman"/>
          <w:sz w:val="32"/>
          <w:szCs w:val="32"/>
          <w:highlight w:val="none"/>
          <w:lang w:val="en-US" w:eastAsia="zh-CN"/>
        </w:rPr>
        <w:t>19.82</w:t>
      </w:r>
      <w:r>
        <w:rPr>
          <w:rFonts w:hint="default" w:ascii="Times New Roman" w:hAnsi="Times New Roman" w:eastAsia="仿宋_GB2312" w:cs="Times New Roman"/>
          <w:sz w:val="32"/>
          <w:szCs w:val="32"/>
          <w:highlight w:val="none"/>
        </w:rPr>
        <w:t>分，得分率为</w:t>
      </w:r>
      <w:r>
        <w:rPr>
          <w:rFonts w:hint="default" w:ascii="Times New Roman" w:hAnsi="Times New Roman" w:eastAsia="仿宋_GB2312" w:cs="Times New Roman"/>
          <w:sz w:val="32"/>
          <w:szCs w:val="32"/>
          <w:highlight w:val="none"/>
          <w:lang w:val="en-US" w:eastAsia="zh-CN"/>
        </w:rPr>
        <w:t>95.4</w:t>
      </w:r>
      <w:r>
        <w:rPr>
          <w:rFonts w:hint="default" w:ascii="Times New Roman" w:hAnsi="Times New Roman" w:eastAsia="仿宋_GB2312" w:cs="Times New Roman"/>
          <w:sz w:val="32"/>
          <w:szCs w:val="32"/>
          <w:highlight w:val="none"/>
        </w:rPr>
        <w:t>%。项目产出类指标权重为40分，得分为</w:t>
      </w:r>
      <w:r>
        <w:rPr>
          <w:rFonts w:hint="default" w:ascii="Times New Roman" w:hAnsi="Times New Roman" w:eastAsia="仿宋_GB2312" w:cs="Times New Roman"/>
          <w:sz w:val="32"/>
          <w:szCs w:val="32"/>
          <w:highlight w:val="none"/>
          <w:lang w:val="en-US" w:eastAsia="zh-CN"/>
        </w:rPr>
        <w:t>39.5</w:t>
      </w:r>
      <w:r>
        <w:rPr>
          <w:rFonts w:hint="default" w:ascii="Times New Roman" w:hAnsi="Times New Roman" w:eastAsia="仿宋_GB2312" w:cs="Times New Roman"/>
          <w:sz w:val="32"/>
          <w:szCs w:val="32"/>
          <w:highlight w:val="none"/>
        </w:rPr>
        <w:t>分，得分率为</w:t>
      </w:r>
      <w:r>
        <w:rPr>
          <w:rFonts w:hint="default" w:ascii="Times New Roman" w:hAnsi="Times New Roman" w:eastAsia="仿宋_GB2312" w:cs="Times New Roman"/>
          <w:sz w:val="32"/>
          <w:szCs w:val="32"/>
          <w:highlight w:val="none"/>
          <w:lang w:val="en-US" w:eastAsia="zh-CN"/>
        </w:rPr>
        <w:t>95</w:t>
      </w:r>
      <w:r>
        <w:rPr>
          <w:rFonts w:hint="default" w:ascii="Times New Roman" w:hAnsi="Times New Roman" w:eastAsia="仿宋_GB2312" w:cs="Times New Roman"/>
          <w:sz w:val="32"/>
          <w:szCs w:val="32"/>
          <w:highlight w:val="none"/>
        </w:rPr>
        <w:t>%。项目效益类指标权重为</w:t>
      </w:r>
      <w:r>
        <w:rPr>
          <w:rFonts w:hint="default" w:ascii="Times New Roman" w:hAnsi="Times New Roman" w:eastAsia="仿宋_GB2312" w:cs="Times New Roman"/>
          <w:sz w:val="32"/>
          <w:szCs w:val="32"/>
          <w:highlight w:val="none"/>
          <w:lang w:val="en-US" w:eastAsia="zh-CN"/>
        </w:rPr>
        <w:t>20</w:t>
      </w:r>
      <w:r>
        <w:rPr>
          <w:rFonts w:hint="default" w:ascii="Times New Roman" w:hAnsi="Times New Roman" w:eastAsia="仿宋_GB2312" w:cs="Times New Roman"/>
          <w:sz w:val="32"/>
          <w:szCs w:val="32"/>
          <w:highlight w:val="none"/>
        </w:rPr>
        <w:t>分，得分为</w:t>
      </w:r>
      <w:r>
        <w:rPr>
          <w:rFonts w:hint="default" w:ascii="Times New Roman" w:hAnsi="Times New Roman" w:eastAsia="仿宋_GB2312" w:cs="Times New Roman"/>
          <w:sz w:val="32"/>
          <w:szCs w:val="32"/>
          <w:highlight w:val="none"/>
          <w:lang w:val="en-US" w:eastAsia="zh-CN"/>
        </w:rPr>
        <w:t>20</w:t>
      </w:r>
      <w:r>
        <w:rPr>
          <w:rFonts w:hint="default" w:ascii="Times New Roman" w:hAnsi="Times New Roman" w:eastAsia="仿宋_GB2312" w:cs="Times New Roman"/>
          <w:sz w:val="32"/>
          <w:szCs w:val="32"/>
          <w:highlight w:val="none"/>
        </w:rPr>
        <w:t>分，得分率为</w:t>
      </w:r>
      <w:r>
        <w:rPr>
          <w:rFonts w:hint="default" w:ascii="Times New Roman" w:hAnsi="Times New Roman"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具体打分情况详见：附件1综合评分表</w:t>
      </w:r>
      <w:r>
        <w:rPr>
          <w:rFonts w:hint="default" w:ascii="Times New Roman" w:hAnsi="Times New Roman" w:eastAsia="仿宋_GB2312" w:cs="Times New Roman"/>
          <w:sz w:val="32"/>
          <w:szCs w:val="32"/>
          <w:lang w:eastAsia="zh-CN"/>
        </w:rPr>
        <w:t>。</w:t>
      </w:r>
    </w:p>
    <w:p w14:paraId="3350650B">
      <w:pPr>
        <w:pStyle w:val="10"/>
        <w:keepNext w:val="0"/>
        <w:keepLines w:val="0"/>
        <w:pageBreakBefore w:val="0"/>
        <w:widowControl/>
        <w:kinsoku/>
        <w:wordWrap/>
        <w:overflowPunct/>
        <w:topLinePunct w:val="0"/>
        <w:autoSpaceDE/>
        <w:autoSpaceDN/>
        <w:bidi w:val="0"/>
        <w:adjustRightInd/>
        <w:snapToGrid/>
        <w:spacing w:before="0" w:after="0" w:line="500" w:lineRule="exact"/>
        <w:textAlignment w:val="auto"/>
        <w:rPr>
          <w:rFonts w:hint="default" w:ascii="Times New Roman" w:hAnsi="Times New Roman" w:eastAsia="仿宋_GB2312" w:cs="Times New Roman"/>
          <w:sz w:val="21"/>
          <w:szCs w:val="21"/>
          <w:highlight w:val="none"/>
        </w:rPr>
      </w:pPr>
      <w:r>
        <w:rPr>
          <w:rFonts w:hint="default" w:ascii="Times New Roman" w:hAnsi="Times New Roman" w:eastAsia="仿宋_GB2312" w:cs="Times New Roman"/>
          <w:sz w:val="21"/>
          <w:szCs w:val="21"/>
          <w:highlight w:val="none"/>
        </w:rPr>
        <w:t>表1综合评分表</w:t>
      </w:r>
    </w:p>
    <w:tbl>
      <w:tblPr>
        <w:tblStyle w:val="14"/>
        <w:tblW w:w="4998" w:type="pct"/>
        <w:jc w:val="center"/>
        <w:tblLayout w:type="autofit"/>
        <w:tblCellMar>
          <w:top w:w="0" w:type="dxa"/>
          <w:left w:w="108" w:type="dxa"/>
          <w:bottom w:w="0" w:type="dxa"/>
          <w:right w:w="108" w:type="dxa"/>
        </w:tblCellMar>
      </w:tblPr>
      <w:tblGrid>
        <w:gridCol w:w="2745"/>
        <w:gridCol w:w="2199"/>
        <w:gridCol w:w="1784"/>
        <w:gridCol w:w="2328"/>
      </w:tblGrid>
      <w:tr w14:paraId="09405743">
        <w:tblPrEx>
          <w:tblCellMar>
            <w:top w:w="0" w:type="dxa"/>
            <w:left w:w="108" w:type="dxa"/>
            <w:bottom w:w="0" w:type="dxa"/>
            <w:right w:w="108" w:type="dxa"/>
          </w:tblCellMar>
        </w:tblPrEx>
        <w:trPr>
          <w:trHeight w:val="90" w:hRule="atLeast"/>
          <w:tblHeader/>
          <w:jc w:val="center"/>
        </w:trPr>
        <w:tc>
          <w:tcPr>
            <w:tcW w:w="0" w:type="auto"/>
            <w:tcBorders>
              <w:top w:val="single" w:color="auto" w:sz="4" w:space="0"/>
              <w:left w:val="single" w:color="auto" w:sz="4" w:space="0"/>
              <w:bottom w:val="single" w:color="auto" w:sz="4" w:space="0"/>
              <w:right w:val="single" w:color="auto" w:sz="4" w:space="0"/>
            </w:tcBorders>
            <w:shd w:val="clear" w:color="000000" w:fill="BEBEBE" w:themeFill="background1" w:themeFillShade="BF"/>
            <w:vAlign w:val="center"/>
          </w:tcPr>
          <w:p w14:paraId="522E4124">
            <w:pPr>
              <w:keepNext w:val="0"/>
              <w:keepLines w:val="0"/>
              <w:pageBreakBefore w:val="0"/>
              <w:kinsoku/>
              <w:wordWrap/>
              <w:overflowPunct/>
              <w:topLinePunct w:val="0"/>
              <w:autoSpaceDE/>
              <w:autoSpaceDN/>
              <w:bidi w:val="0"/>
              <w:adjustRightInd/>
              <w:snapToGrid/>
              <w:spacing w:line="500" w:lineRule="exact"/>
              <w:jc w:val="center"/>
              <w:rPr>
                <w:rFonts w:hint="default" w:ascii="Times New Roman" w:hAnsi="Times New Roman" w:eastAsia="仿宋_GB2312" w:cs="Times New Roman"/>
                <w:b/>
                <w:bCs/>
                <w:color w:val="000000"/>
                <w:sz w:val="21"/>
                <w:szCs w:val="21"/>
                <w:highlight w:val="none"/>
              </w:rPr>
            </w:pPr>
            <w:r>
              <w:rPr>
                <w:rFonts w:hint="default" w:ascii="Times New Roman" w:hAnsi="Times New Roman" w:eastAsia="仿宋_GB2312" w:cs="Times New Roman"/>
                <w:b/>
                <w:bCs/>
                <w:color w:val="000000"/>
                <w:sz w:val="21"/>
                <w:szCs w:val="21"/>
                <w:highlight w:val="none"/>
              </w:rPr>
              <w:t>一级指标</w:t>
            </w:r>
          </w:p>
        </w:tc>
        <w:tc>
          <w:tcPr>
            <w:tcW w:w="0" w:type="auto"/>
            <w:tcBorders>
              <w:top w:val="single" w:color="auto" w:sz="4" w:space="0"/>
              <w:left w:val="nil"/>
              <w:bottom w:val="single" w:color="auto" w:sz="4" w:space="0"/>
              <w:right w:val="single" w:color="auto" w:sz="4" w:space="0"/>
            </w:tcBorders>
            <w:shd w:val="clear" w:color="000000" w:fill="BEBEBE" w:themeFill="background1" w:themeFillShade="BF"/>
            <w:vAlign w:val="center"/>
          </w:tcPr>
          <w:p w14:paraId="37962817">
            <w:pPr>
              <w:keepNext w:val="0"/>
              <w:keepLines w:val="0"/>
              <w:pageBreakBefore w:val="0"/>
              <w:kinsoku/>
              <w:wordWrap/>
              <w:overflowPunct/>
              <w:topLinePunct w:val="0"/>
              <w:autoSpaceDE/>
              <w:autoSpaceDN/>
              <w:bidi w:val="0"/>
              <w:adjustRightInd/>
              <w:snapToGrid/>
              <w:spacing w:line="500" w:lineRule="exact"/>
              <w:jc w:val="center"/>
              <w:rPr>
                <w:rFonts w:hint="default" w:ascii="Times New Roman" w:hAnsi="Times New Roman" w:eastAsia="仿宋_GB2312" w:cs="Times New Roman"/>
                <w:b/>
                <w:bCs/>
                <w:color w:val="000000"/>
                <w:sz w:val="21"/>
                <w:szCs w:val="21"/>
                <w:highlight w:val="none"/>
              </w:rPr>
            </w:pPr>
            <w:r>
              <w:rPr>
                <w:rFonts w:hint="default" w:ascii="Times New Roman" w:hAnsi="Times New Roman" w:eastAsia="仿宋_GB2312" w:cs="Times New Roman"/>
                <w:b/>
                <w:bCs/>
                <w:color w:val="000000"/>
                <w:sz w:val="21"/>
                <w:szCs w:val="21"/>
                <w:highlight w:val="none"/>
              </w:rPr>
              <w:t>权重分</w:t>
            </w:r>
          </w:p>
        </w:tc>
        <w:tc>
          <w:tcPr>
            <w:tcW w:w="0" w:type="auto"/>
            <w:tcBorders>
              <w:top w:val="single" w:color="auto" w:sz="4" w:space="0"/>
              <w:left w:val="nil"/>
              <w:bottom w:val="single" w:color="auto" w:sz="4" w:space="0"/>
              <w:right w:val="single" w:color="auto" w:sz="4" w:space="0"/>
            </w:tcBorders>
            <w:shd w:val="clear" w:color="000000" w:fill="BEBEBE" w:themeFill="background1" w:themeFillShade="BF"/>
            <w:vAlign w:val="center"/>
          </w:tcPr>
          <w:p w14:paraId="465EDABD">
            <w:pPr>
              <w:keepNext w:val="0"/>
              <w:keepLines w:val="0"/>
              <w:pageBreakBefore w:val="0"/>
              <w:kinsoku/>
              <w:wordWrap/>
              <w:overflowPunct/>
              <w:topLinePunct w:val="0"/>
              <w:autoSpaceDE/>
              <w:autoSpaceDN/>
              <w:bidi w:val="0"/>
              <w:adjustRightInd/>
              <w:snapToGrid/>
              <w:spacing w:line="500" w:lineRule="exact"/>
              <w:jc w:val="center"/>
              <w:rPr>
                <w:rFonts w:hint="default" w:ascii="Times New Roman" w:hAnsi="Times New Roman" w:eastAsia="仿宋_GB2312" w:cs="Times New Roman"/>
                <w:b/>
                <w:bCs/>
                <w:color w:val="000000"/>
                <w:sz w:val="21"/>
                <w:szCs w:val="21"/>
                <w:highlight w:val="none"/>
              </w:rPr>
            </w:pPr>
            <w:r>
              <w:rPr>
                <w:rFonts w:hint="default" w:ascii="Times New Roman" w:hAnsi="Times New Roman" w:eastAsia="仿宋_GB2312" w:cs="Times New Roman"/>
                <w:b/>
                <w:bCs/>
                <w:color w:val="000000"/>
                <w:sz w:val="21"/>
                <w:szCs w:val="21"/>
                <w:highlight w:val="none"/>
              </w:rPr>
              <w:t>得分</w:t>
            </w:r>
          </w:p>
        </w:tc>
        <w:tc>
          <w:tcPr>
            <w:tcW w:w="0" w:type="auto"/>
            <w:tcBorders>
              <w:top w:val="single" w:color="auto" w:sz="4" w:space="0"/>
              <w:left w:val="nil"/>
              <w:bottom w:val="single" w:color="auto" w:sz="4" w:space="0"/>
              <w:right w:val="single" w:color="auto" w:sz="4" w:space="0"/>
            </w:tcBorders>
            <w:shd w:val="clear" w:color="000000" w:fill="BEBEBE" w:themeFill="background1" w:themeFillShade="BF"/>
            <w:vAlign w:val="center"/>
          </w:tcPr>
          <w:p w14:paraId="1E0FA73D">
            <w:pPr>
              <w:keepNext w:val="0"/>
              <w:keepLines w:val="0"/>
              <w:pageBreakBefore w:val="0"/>
              <w:kinsoku/>
              <w:wordWrap/>
              <w:overflowPunct/>
              <w:topLinePunct w:val="0"/>
              <w:autoSpaceDE/>
              <w:autoSpaceDN/>
              <w:bidi w:val="0"/>
              <w:adjustRightInd/>
              <w:snapToGrid/>
              <w:spacing w:line="500" w:lineRule="exact"/>
              <w:jc w:val="center"/>
              <w:rPr>
                <w:rFonts w:hint="eastAsia" w:ascii="Times New Roman" w:hAnsi="Times New Roman" w:eastAsia="仿宋_GB2312" w:cs="Times New Roman"/>
                <w:b/>
                <w:bCs/>
                <w:color w:val="000000"/>
                <w:sz w:val="21"/>
                <w:szCs w:val="21"/>
                <w:highlight w:val="none"/>
                <w:lang w:val="en-US" w:eastAsia="zh-CN"/>
              </w:rPr>
            </w:pPr>
            <w:r>
              <w:rPr>
                <w:rFonts w:hint="eastAsia" w:eastAsia="仿宋_GB2312" w:cs="Times New Roman"/>
                <w:b/>
                <w:bCs/>
                <w:color w:val="000000"/>
                <w:sz w:val="21"/>
                <w:szCs w:val="21"/>
                <w:highlight w:val="none"/>
                <w:lang w:val="en-US" w:eastAsia="zh-CN"/>
              </w:rPr>
              <w:t>得分率</w:t>
            </w:r>
          </w:p>
        </w:tc>
      </w:tr>
      <w:tr w14:paraId="0694864F">
        <w:tblPrEx>
          <w:tblCellMar>
            <w:top w:w="0" w:type="dxa"/>
            <w:left w:w="108" w:type="dxa"/>
            <w:bottom w:w="0" w:type="dxa"/>
            <w:right w:w="108" w:type="dxa"/>
          </w:tblCellMar>
        </w:tblPrEx>
        <w:trPr>
          <w:trHeight w:val="340" w:hRule="atLeast"/>
          <w:jc w:val="center"/>
        </w:trPr>
        <w:tc>
          <w:tcPr>
            <w:tcW w:w="0" w:type="auto"/>
            <w:tcBorders>
              <w:top w:val="nil"/>
              <w:left w:val="single" w:color="auto" w:sz="4" w:space="0"/>
              <w:bottom w:val="single" w:color="auto" w:sz="4" w:space="0"/>
              <w:right w:val="single" w:color="auto" w:sz="4" w:space="0"/>
            </w:tcBorders>
            <w:shd w:val="clear" w:color="auto" w:fill="auto"/>
            <w:vAlign w:val="center"/>
          </w:tcPr>
          <w:p w14:paraId="75D93349">
            <w:pPr>
              <w:keepNext w:val="0"/>
              <w:keepLines w:val="0"/>
              <w:pageBreakBefore w:val="0"/>
              <w:kinsoku/>
              <w:wordWrap/>
              <w:overflowPunct/>
              <w:topLinePunct w:val="0"/>
              <w:autoSpaceDE/>
              <w:autoSpaceDN/>
              <w:bidi w:val="0"/>
              <w:adjustRightInd/>
              <w:snapToGrid/>
              <w:spacing w:line="500" w:lineRule="exact"/>
              <w:jc w:val="center"/>
              <w:rPr>
                <w:rFonts w:hint="default" w:ascii="Times New Roman" w:hAnsi="Times New Roman" w:eastAsia="仿宋_GB2312" w:cs="Times New Roman"/>
                <w:color w:val="000000"/>
                <w:sz w:val="21"/>
                <w:szCs w:val="21"/>
                <w:highlight w:val="none"/>
              </w:rPr>
            </w:pPr>
            <w:r>
              <w:rPr>
                <w:rFonts w:hint="default" w:ascii="Times New Roman" w:hAnsi="Times New Roman" w:eastAsia="仿宋_GB2312" w:cs="Times New Roman"/>
                <w:color w:val="000000"/>
                <w:sz w:val="21"/>
                <w:szCs w:val="21"/>
                <w:highlight w:val="none"/>
              </w:rPr>
              <w:t>项目决策</w:t>
            </w:r>
          </w:p>
        </w:tc>
        <w:tc>
          <w:tcPr>
            <w:tcW w:w="0" w:type="auto"/>
            <w:tcBorders>
              <w:top w:val="nil"/>
              <w:left w:val="nil"/>
              <w:bottom w:val="single" w:color="auto" w:sz="4" w:space="0"/>
              <w:right w:val="single" w:color="auto" w:sz="4" w:space="0"/>
            </w:tcBorders>
            <w:shd w:val="clear" w:color="auto" w:fill="auto"/>
            <w:vAlign w:val="center"/>
          </w:tcPr>
          <w:p w14:paraId="5C869547">
            <w:pPr>
              <w:keepNext w:val="0"/>
              <w:keepLines w:val="0"/>
              <w:pageBreakBefore w:val="0"/>
              <w:kinsoku/>
              <w:wordWrap/>
              <w:overflowPunct/>
              <w:topLinePunct w:val="0"/>
              <w:autoSpaceDE/>
              <w:autoSpaceDN/>
              <w:bidi w:val="0"/>
              <w:adjustRightInd/>
              <w:snapToGrid/>
              <w:spacing w:line="500" w:lineRule="exact"/>
              <w:jc w:val="center"/>
              <w:rPr>
                <w:rFonts w:hint="default" w:ascii="Times New Roman" w:hAnsi="Times New Roman" w:eastAsia="仿宋_GB2312" w:cs="Times New Roman"/>
                <w:color w:val="000000"/>
                <w:sz w:val="21"/>
                <w:szCs w:val="21"/>
                <w:highlight w:val="none"/>
                <w:lang w:val="en-US" w:eastAsia="zh-CN"/>
              </w:rPr>
            </w:pPr>
            <w:r>
              <w:rPr>
                <w:rFonts w:hint="default" w:ascii="Times New Roman" w:hAnsi="Times New Roman" w:eastAsia="仿宋_GB2312" w:cs="Times New Roman"/>
                <w:color w:val="000000"/>
                <w:sz w:val="21"/>
                <w:szCs w:val="21"/>
                <w:highlight w:val="none"/>
                <w:lang w:val="en-US" w:eastAsia="zh-CN"/>
              </w:rPr>
              <w:t>20</w:t>
            </w:r>
          </w:p>
        </w:tc>
        <w:tc>
          <w:tcPr>
            <w:tcW w:w="0" w:type="auto"/>
            <w:tcBorders>
              <w:top w:val="nil"/>
              <w:left w:val="nil"/>
              <w:bottom w:val="single" w:color="auto" w:sz="4" w:space="0"/>
              <w:right w:val="single" w:color="auto" w:sz="4" w:space="0"/>
            </w:tcBorders>
            <w:shd w:val="clear" w:color="auto" w:fill="auto"/>
            <w:vAlign w:val="center"/>
          </w:tcPr>
          <w:p w14:paraId="4AAF0937">
            <w:pPr>
              <w:keepNext w:val="0"/>
              <w:keepLines w:val="0"/>
              <w:pageBreakBefore w:val="0"/>
              <w:kinsoku/>
              <w:wordWrap/>
              <w:overflowPunct/>
              <w:topLinePunct w:val="0"/>
              <w:autoSpaceDE/>
              <w:autoSpaceDN/>
              <w:bidi w:val="0"/>
              <w:adjustRightInd/>
              <w:snapToGrid/>
              <w:spacing w:line="500" w:lineRule="exact"/>
              <w:jc w:val="center"/>
              <w:rPr>
                <w:rFonts w:hint="default" w:ascii="Times New Roman" w:hAnsi="Times New Roman" w:eastAsia="仿宋_GB2312" w:cs="Times New Roman"/>
                <w:color w:val="000000"/>
                <w:sz w:val="21"/>
                <w:szCs w:val="21"/>
                <w:highlight w:val="none"/>
                <w:lang w:val="en-US" w:eastAsia="zh-CN"/>
              </w:rPr>
            </w:pPr>
            <w:r>
              <w:rPr>
                <w:rFonts w:hint="eastAsia" w:eastAsia="仿宋_GB2312" w:cs="Times New Roman"/>
                <w:color w:val="000000"/>
                <w:sz w:val="21"/>
                <w:szCs w:val="21"/>
                <w:highlight w:val="none"/>
                <w:lang w:val="en-US" w:eastAsia="zh-CN"/>
              </w:rPr>
              <w:t>20</w:t>
            </w:r>
          </w:p>
        </w:tc>
        <w:tc>
          <w:tcPr>
            <w:tcW w:w="0" w:type="auto"/>
            <w:tcBorders>
              <w:top w:val="nil"/>
              <w:left w:val="nil"/>
              <w:bottom w:val="single" w:color="auto" w:sz="4" w:space="0"/>
              <w:right w:val="single" w:color="auto" w:sz="4" w:space="0"/>
            </w:tcBorders>
            <w:shd w:val="clear" w:color="auto" w:fill="auto"/>
            <w:vAlign w:val="center"/>
          </w:tcPr>
          <w:p w14:paraId="3E855557">
            <w:pPr>
              <w:keepNext w:val="0"/>
              <w:keepLines w:val="0"/>
              <w:pageBreakBefore w:val="0"/>
              <w:kinsoku/>
              <w:wordWrap/>
              <w:overflowPunct/>
              <w:topLinePunct w:val="0"/>
              <w:autoSpaceDE/>
              <w:autoSpaceDN/>
              <w:bidi w:val="0"/>
              <w:adjustRightInd/>
              <w:snapToGrid/>
              <w:spacing w:line="500" w:lineRule="exact"/>
              <w:jc w:val="center"/>
              <w:rPr>
                <w:rFonts w:hint="default" w:ascii="Times New Roman" w:hAnsi="Times New Roman" w:eastAsia="仿宋_GB2312" w:cs="Times New Roman"/>
                <w:color w:val="000000"/>
                <w:sz w:val="21"/>
                <w:szCs w:val="21"/>
                <w:highlight w:val="none"/>
                <w:lang w:val="en-US" w:eastAsia="zh-CN"/>
              </w:rPr>
            </w:pPr>
            <w:r>
              <w:rPr>
                <w:rFonts w:hint="eastAsia" w:eastAsia="仿宋_GB2312" w:cs="Times New Roman"/>
                <w:color w:val="000000"/>
                <w:sz w:val="21"/>
                <w:szCs w:val="21"/>
                <w:highlight w:val="none"/>
                <w:lang w:val="en-US" w:eastAsia="zh-CN"/>
              </w:rPr>
              <w:t>100%</w:t>
            </w:r>
          </w:p>
        </w:tc>
      </w:tr>
      <w:tr w14:paraId="109BDF2F">
        <w:tblPrEx>
          <w:tblCellMar>
            <w:top w:w="0" w:type="dxa"/>
            <w:left w:w="108" w:type="dxa"/>
            <w:bottom w:w="0" w:type="dxa"/>
            <w:right w:w="108" w:type="dxa"/>
          </w:tblCellMar>
        </w:tblPrEx>
        <w:trPr>
          <w:trHeight w:val="489" w:hRule="atLeast"/>
          <w:jc w:val="center"/>
        </w:trPr>
        <w:tc>
          <w:tcPr>
            <w:tcW w:w="0" w:type="auto"/>
            <w:tcBorders>
              <w:top w:val="nil"/>
              <w:left w:val="single" w:color="auto" w:sz="4" w:space="0"/>
              <w:bottom w:val="single" w:color="auto" w:sz="4" w:space="0"/>
              <w:right w:val="single" w:color="auto" w:sz="4" w:space="0"/>
            </w:tcBorders>
            <w:shd w:val="clear" w:color="auto" w:fill="auto"/>
            <w:vAlign w:val="center"/>
          </w:tcPr>
          <w:p w14:paraId="08B8754D">
            <w:pPr>
              <w:keepNext w:val="0"/>
              <w:keepLines w:val="0"/>
              <w:pageBreakBefore w:val="0"/>
              <w:kinsoku/>
              <w:wordWrap/>
              <w:overflowPunct/>
              <w:topLinePunct w:val="0"/>
              <w:autoSpaceDE/>
              <w:autoSpaceDN/>
              <w:bidi w:val="0"/>
              <w:adjustRightInd/>
              <w:snapToGrid/>
              <w:spacing w:line="500" w:lineRule="exact"/>
              <w:jc w:val="center"/>
              <w:rPr>
                <w:rFonts w:hint="default" w:ascii="Times New Roman" w:hAnsi="Times New Roman" w:eastAsia="仿宋_GB2312" w:cs="Times New Roman"/>
                <w:color w:val="000000"/>
                <w:sz w:val="21"/>
                <w:szCs w:val="21"/>
                <w:highlight w:val="none"/>
              </w:rPr>
            </w:pPr>
            <w:r>
              <w:rPr>
                <w:rFonts w:hint="default" w:ascii="Times New Roman" w:hAnsi="Times New Roman" w:eastAsia="仿宋_GB2312" w:cs="Times New Roman"/>
                <w:color w:val="000000"/>
                <w:sz w:val="21"/>
                <w:szCs w:val="21"/>
                <w:highlight w:val="none"/>
              </w:rPr>
              <w:t>项目过程</w:t>
            </w:r>
          </w:p>
        </w:tc>
        <w:tc>
          <w:tcPr>
            <w:tcW w:w="0" w:type="auto"/>
            <w:tcBorders>
              <w:top w:val="nil"/>
              <w:left w:val="nil"/>
              <w:bottom w:val="single" w:color="auto" w:sz="4" w:space="0"/>
              <w:right w:val="single" w:color="auto" w:sz="4" w:space="0"/>
            </w:tcBorders>
            <w:shd w:val="clear" w:color="auto" w:fill="auto"/>
            <w:vAlign w:val="center"/>
          </w:tcPr>
          <w:p w14:paraId="225384FB">
            <w:pPr>
              <w:keepNext w:val="0"/>
              <w:keepLines w:val="0"/>
              <w:pageBreakBefore w:val="0"/>
              <w:kinsoku/>
              <w:wordWrap/>
              <w:overflowPunct/>
              <w:topLinePunct w:val="0"/>
              <w:autoSpaceDE/>
              <w:autoSpaceDN/>
              <w:bidi w:val="0"/>
              <w:adjustRightInd/>
              <w:snapToGrid/>
              <w:spacing w:line="500" w:lineRule="exact"/>
              <w:jc w:val="center"/>
              <w:rPr>
                <w:rFonts w:hint="default" w:ascii="Times New Roman" w:hAnsi="Times New Roman" w:eastAsia="仿宋_GB2312" w:cs="Times New Roman"/>
                <w:color w:val="000000"/>
                <w:sz w:val="21"/>
                <w:szCs w:val="21"/>
                <w:highlight w:val="none"/>
                <w:lang w:val="en-US" w:eastAsia="zh-CN"/>
              </w:rPr>
            </w:pPr>
            <w:r>
              <w:rPr>
                <w:rFonts w:hint="eastAsia" w:eastAsia="仿宋_GB2312" w:cs="Times New Roman"/>
                <w:color w:val="000000"/>
                <w:sz w:val="21"/>
                <w:szCs w:val="21"/>
                <w:highlight w:val="none"/>
                <w:lang w:val="en-US" w:eastAsia="zh-CN"/>
              </w:rPr>
              <w:t>20</w:t>
            </w:r>
          </w:p>
        </w:tc>
        <w:tc>
          <w:tcPr>
            <w:tcW w:w="0" w:type="auto"/>
            <w:tcBorders>
              <w:top w:val="nil"/>
              <w:left w:val="nil"/>
              <w:bottom w:val="single" w:color="auto" w:sz="4" w:space="0"/>
              <w:right w:val="single" w:color="auto" w:sz="4" w:space="0"/>
            </w:tcBorders>
            <w:shd w:val="clear" w:color="auto" w:fill="auto"/>
            <w:vAlign w:val="center"/>
          </w:tcPr>
          <w:p w14:paraId="312D87D6">
            <w:pPr>
              <w:keepNext w:val="0"/>
              <w:keepLines w:val="0"/>
              <w:pageBreakBefore w:val="0"/>
              <w:kinsoku/>
              <w:wordWrap/>
              <w:overflowPunct/>
              <w:topLinePunct w:val="0"/>
              <w:autoSpaceDE/>
              <w:autoSpaceDN/>
              <w:bidi w:val="0"/>
              <w:adjustRightInd/>
              <w:snapToGrid/>
              <w:spacing w:line="500" w:lineRule="exact"/>
              <w:jc w:val="center"/>
              <w:rPr>
                <w:rFonts w:hint="default" w:ascii="Times New Roman" w:hAnsi="Times New Roman" w:eastAsia="仿宋_GB2312" w:cs="Times New Roman"/>
                <w:color w:val="000000"/>
                <w:sz w:val="21"/>
                <w:szCs w:val="21"/>
                <w:highlight w:val="none"/>
                <w:lang w:val="en-US" w:eastAsia="zh-CN"/>
              </w:rPr>
            </w:pPr>
            <w:r>
              <w:rPr>
                <w:rFonts w:hint="eastAsia" w:eastAsia="仿宋_GB2312" w:cs="Times New Roman"/>
                <w:color w:val="000000"/>
                <w:sz w:val="21"/>
                <w:szCs w:val="21"/>
                <w:highlight w:val="none"/>
                <w:lang w:val="en-US" w:eastAsia="zh-CN"/>
              </w:rPr>
              <w:t>19.82</w:t>
            </w:r>
          </w:p>
        </w:tc>
        <w:tc>
          <w:tcPr>
            <w:tcW w:w="0" w:type="auto"/>
            <w:tcBorders>
              <w:top w:val="nil"/>
              <w:left w:val="nil"/>
              <w:bottom w:val="single" w:color="auto" w:sz="4" w:space="0"/>
              <w:right w:val="single" w:color="auto" w:sz="4" w:space="0"/>
            </w:tcBorders>
            <w:shd w:val="clear" w:color="auto" w:fill="auto"/>
            <w:vAlign w:val="center"/>
          </w:tcPr>
          <w:p w14:paraId="2542282C">
            <w:pPr>
              <w:keepNext w:val="0"/>
              <w:keepLines w:val="0"/>
              <w:pageBreakBefore w:val="0"/>
              <w:kinsoku/>
              <w:wordWrap/>
              <w:overflowPunct/>
              <w:topLinePunct w:val="0"/>
              <w:autoSpaceDE/>
              <w:autoSpaceDN/>
              <w:bidi w:val="0"/>
              <w:adjustRightInd/>
              <w:snapToGrid/>
              <w:spacing w:line="500" w:lineRule="exact"/>
              <w:jc w:val="center"/>
              <w:rPr>
                <w:rFonts w:hint="default" w:ascii="Times New Roman" w:hAnsi="Times New Roman" w:eastAsia="仿宋_GB2312" w:cs="Times New Roman"/>
                <w:color w:val="000000"/>
                <w:sz w:val="21"/>
                <w:szCs w:val="21"/>
                <w:highlight w:val="none"/>
                <w:lang w:val="en-US" w:eastAsia="zh-CN"/>
              </w:rPr>
            </w:pPr>
            <w:r>
              <w:rPr>
                <w:rFonts w:hint="eastAsia" w:eastAsia="仿宋_GB2312" w:cs="Times New Roman"/>
                <w:color w:val="000000"/>
                <w:sz w:val="21"/>
                <w:szCs w:val="21"/>
                <w:highlight w:val="none"/>
                <w:lang w:val="en-US" w:eastAsia="zh-CN"/>
              </w:rPr>
              <w:t>95.4%</w:t>
            </w:r>
          </w:p>
        </w:tc>
      </w:tr>
      <w:tr w14:paraId="34A2BEC7">
        <w:tblPrEx>
          <w:tblCellMar>
            <w:top w:w="0" w:type="dxa"/>
            <w:left w:w="108" w:type="dxa"/>
            <w:bottom w:w="0" w:type="dxa"/>
            <w:right w:w="108" w:type="dxa"/>
          </w:tblCellMar>
        </w:tblPrEx>
        <w:trPr>
          <w:trHeight w:val="340" w:hRule="atLeast"/>
          <w:jc w:val="center"/>
        </w:trPr>
        <w:tc>
          <w:tcPr>
            <w:tcW w:w="0" w:type="auto"/>
            <w:tcBorders>
              <w:top w:val="nil"/>
              <w:left w:val="single" w:color="auto" w:sz="4" w:space="0"/>
              <w:bottom w:val="single" w:color="auto" w:sz="4" w:space="0"/>
              <w:right w:val="single" w:color="auto" w:sz="4" w:space="0"/>
            </w:tcBorders>
            <w:shd w:val="clear" w:color="auto" w:fill="auto"/>
            <w:vAlign w:val="center"/>
          </w:tcPr>
          <w:p w14:paraId="7812A605">
            <w:pPr>
              <w:keepNext w:val="0"/>
              <w:keepLines w:val="0"/>
              <w:pageBreakBefore w:val="0"/>
              <w:kinsoku/>
              <w:wordWrap/>
              <w:overflowPunct/>
              <w:topLinePunct w:val="0"/>
              <w:autoSpaceDE/>
              <w:autoSpaceDN/>
              <w:bidi w:val="0"/>
              <w:adjustRightInd/>
              <w:snapToGrid/>
              <w:spacing w:line="500" w:lineRule="exact"/>
              <w:jc w:val="center"/>
              <w:rPr>
                <w:rFonts w:hint="default" w:ascii="Times New Roman" w:hAnsi="Times New Roman" w:eastAsia="仿宋_GB2312" w:cs="Times New Roman"/>
                <w:color w:val="000000"/>
                <w:sz w:val="21"/>
                <w:szCs w:val="21"/>
                <w:highlight w:val="none"/>
              </w:rPr>
            </w:pPr>
            <w:r>
              <w:rPr>
                <w:rFonts w:hint="default" w:ascii="Times New Roman" w:hAnsi="Times New Roman" w:eastAsia="仿宋_GB2312" w:cs="Times New Roman"/>
                <w:color w:val="000000"/>
                <w:sz w:val="21"/>
                <w:szCs w:val="21"/>
                <w:highlight w:val="none"/>
              </w:rPr>
              <w:t>项目产出</w:t>
            </w:r>
          </w:p>
        </w:tc>
        <w:tc>
          <w:tcPr>
            <w:tcW w:w="0" w:type="auto"/>
            <w:tcBorders>
              <w:top w:val="nil"/>
              <w:left w:val="nil"/>
              <w:bottom w:val="single" w:color="auto" w:sz="4" w:space="0"/>
              <w:right w:val="single" w:color="auto" w:sz="4" w:space="0"/>
            </w:tcBorders>
            <w:shd w:val="clear" w:color="auto" w:fill="auto"/>
            <w:vAlign w:val="center"/>
          </w:tcPr>
          <w:p w14:paraId="6F74A4A1">
            <w:pPr>
              <w:keepNext w:val="0"/>
              <w:keepLines w:val="0"/>
              <w:pageBreakBefore w:val="0"/>
              <w:kinsoku/>
              <w:wordWrap/>
              <w:overflowPunct/>
              <w:topLinePunct w:val="0"/>
              <w:autoSpaceDE/>
              <w:autoSpaceDN/>
              <w:bidi w:val="0"/>
              <w:adjustRightInd/>
              <w:snapToGrid/>
              <w:spacing w:line="500" w:lineRule="exact"/>
              <w:jc w:val="center"/>
              <w:rPr>
                <w:rFonts w:hint="default" w:ascii="Times New Roman" w:hAnsi="Times New Roman" w:eastAsia="仿宋_GB2312" w:cs="Times New Roman"/>
                <w:color w:val="000000"/>
                <w:sz w:val="21"/>
                <w:szCs w:val="21"/>
                <w:highlight w:val="none"/>
                <w:lang w:val="en-US" w:eastAsia="zh-CN"/>
              </w:rPr>
            </w:pPr>
            <w:r>
              <w:rPr>
                <w:rFonts w:hint="default" w:ascii="Times New Roman" w:hAnsi="Times New Roman" w:eastAsia="仿宋_GB2312" w:cs="Times New Roman"/>
                <w:color w:val="000000"/>
                <w:sz w:val="21"/>
                <w:szCs w:val="21"/>
                <w:highlight w:val="none"/>
                <w:lang w:val="en-US" w:eastAsia="zh-CN"/>
              </w:rPr>
              <w:t>40</w:t>
            </w:r>
          </w:p>
        </w:tc>
        <w:tc>
          <w:tcPr>
            <w:tcW w:w="0" w:type="auto"/>
            <w:tcBorders>
              <w:top w:val="nil"/>
              <w:left w:val="nil"/>
              <w:bottom w:val="single" w:color="auto" w:sz="4" w:space="0"/>
              <w:right w:val="single" w:color="auto" w:sz="4" w:space="0"/>
            </w:tcBorders>
            <w:shd w:val="clear" w:color="auto" w:fill="auto"/>
            <w:vAlign w:val="center"/>
          </w:tcPr>
          <w:p w14:paraId="5E6F9B0C">
            <w:pPr>
              <w:keepNext w:val="0"/>
              <w:keepLines w:val="0"/>
              <w:pageBreakBefore w:val="0"/>
              <w:kinsoku/>
              <w:wordWrap/>
              <w:overflowPunct/>
              <w:topLinePunct w:val="0"/>
              <w:autoSpaceDE/>
              <w:autoSpaceDN/>
              <w:bidi w:val="0"/>
              <w:adjustRightInd/>
              <w:snapToGrid/>
              <w:spacing w:line="500" w:lineRule="exact"/>
              <w:jc w:val="center"/>
              <w:rPr>
                <w:rFonts w:hint="default" w:ascii="Times New Roman" w:hAnsi="Times New Roman" w:eastAsia="仿宋_GB2312" w:cs="Times New Roman"/>
                <w:color w:val="000000"/>
                <w:sz w:val="21"/>
                <w:szCs w:val="21"/>
                <w:highlight w:val="none"/>
                <w:lang w:val="en-US" w:eastAsia="zh-CN"/>
              </w:rPr>
            </w:pPr>
            <w:r>
              <w:rPr>
                <w:rFonts w:hint="eastAsia" w:eastAsia="仿宋_GB2312" w:cs="Times New Roman"/>
                <w:color w:val="000000"/>
                <w:sz w:val="21"/>
                <w:szCs w:val="21"/>
                <w:highlight w:val="none"/>
                <w:lang w:val="en-US" w:eastAsia="zh-CN"/>
              </w:rPr>
              <w:t>39.5</w:t>
            </w:r>
          </w:p>
        </w:tc>
        <w:tc>
          <w:tcPr>
            <w:tcW w:w="0" w:type="auto"/>
            <w:tcBorders>
              <w:top w:val="nil"/>
              <w:left w:val="nil"/>
              <w:bottom w:val="single" w:color="auto" w:sz="4" w:space="0"/>
              <w:right w:val="single" w:color="auto" w:sz="4" w:space="0"/>
            </w:tcBorders>
            <w:shd w:val="clear" w:color="auto" w:fill="auto"/>
            <w:vAlign w:val="center"/>
          </w:tcPr>
          <w:p w14:paraId="10914705">
            <w:pPr>
              <w:keepNext w:val="0"/>
              <w:keepLines w:val="0"/>
              <w:pageBreakBefore w:val="0"/>
              <w:kinsoku/>
              <w:wordWrap/>
              <w:overflowPunct/>
              <w:topLinePunct w:val="0"/>
              <w:autoSpaceDE/>
              <w:autoSpaceDN/>
              <w:bidi w:val="0"/>
              <w:adjustRightInd/>
              <w:snapToGrid/>
              <w:spacing w:line="500" w:lineRule="exact"/>
              <w:jc w:val="center"/>
              <w:rPr>
                <w:rFonts w:hint="default" w:ascii="Times New Roman" w:hAnsi="Times New Roman" w:eastAsia="仿宋_GB2312" w:cs="Times New Roman"/>
                <w:color w:val="000000"/>
                <w:sz w:val="21"/>
                <w:szCs w:val="21"/>
                <w:highlight w:val="none"/>
              </w:rPr>
            </w:pPr>
            <w:r>
              <w:rPr>
                <w:rFonts w:hint="eastAsia" w:eastAsia="仿宋_GB2312" w:cs="Times New Roman"/>
                <w:b w:val="0"/>
                <w:bCs w:val="0"/>
                <w:color w:val="auto"/>
                <w:highlight w:val="none"/>
                <w:lang w:val="en-US" w:eastAsia="zh-CN"/>
              </w:rPr>
              <w:t>95</w:t>
            </w:r>
            <w:r>
              <w:rPr>
                <w:rFonts w:hint="default" w:ascii="Times New Roman" w:hAnsi="Times New Roman" w:eastAsia="仿宋_GB2312" w:cs="Times New Roman"/>
                <w:b w:val="0"/>
                <w:bCs w:val="0"/>
                <w:color w:val="auto"/>
                <w:highlight w:val="none"/>
              </w:rPr>
              <w:t>%</w:t>
            </w:r>
          </w:p>
        </w:tc>
      </w:tr>
      <w:tr w14:paraId="788D09A2">
        <w:tblPrEx>
          <w:tblCellMar>
            <w:top w:w="0" w:type="dxa"/>
            <w:left w:w="108" w:type="dxa"/>
            <w:bottom w:w="0" w:type="dxa"/>
            <w:right w:w="108" w:type="dxa"/>
          </w:tblCellMar>
        </w:tblPrEx>
        <w:trPr>
          <w:trHeight w:val="340" w:hRule="atLeast"/>
          <w:jc w:val="center"/>
        </w:trPr>
        <w:tc>
          <w:tcPr>
            <w:tcW w:w="0" w:type="auto"/>
            <w:tcBorders>
              <w:top w:val="nil"/>
              <w:left w:val="single" w:color="auto" w:sz="4" w:space="0"/>
              <w:bottom w:val="single" w:color="auto" w:sz="4" w:space="0"/>
              <w:right w:val="single" w:color="auto" w:sz="4" w:space="0"/>
            </w:tcBorders>
            <w:shd w:val="clear" w:color="auto" w:fill="auto"/>
            <w:vAlign w:val="center"/>
          </w:tcPr>
          <w:p w14:paraId="48E85481">
            <w:pPr>
              <w:keepNext w:val="0"/>
              <w:keepLines w:val="0"/>
              <w:pageBreakBefore w:val="0"/>
              <w:kinsoku/>
              <w:wordWrap/>
              <w:overflowPunct/>
              <w:topLinePunct w:val="0"/>
              <w:autoSpaceDE/>
              <w:autoSpaceDN/>
              <w:bidi w:val="0"/>
              <w:adjustRightInd/>
              <w:snapToGrid/>
              <w:spacing w:line="500" w:lineRule="exact"/>
              <w:jc w:val="center"/>
              <w:rPr>
                <w:rFonts w:hint="default" w:ascii="Times New Roman" w:hAnsi="Times New Roman" w:eastAsia="仿宋_GB2312" w:cs="Times New Roman"/>
                <w:color w:val="000000"/>
                <w:sz w:val="21"/>
                <w:szCs w:val="21"/>
                <w:highlight w:val="none"/>
              </w:rPr>
            </w:pPr>
            <w:r>
              <w:rPr>
                <w:rFonts w:hint="default" w:ascii="Times New Roman" w:hAnsi="Times New Roman" w:eastAsia="仿宋_GB2312" w:cs="Times New Roman"/>
                <w:color w:val="000000"/>
                <w:sz w:val="21"/>
                <w:szCs w:val="21"/>
                <w:highlight w:val="none"/>
              </w:rPr>
              <w:t>项目效益</w:t>
            </w:r>
          </w:p>
        </w:tc>
        <w:tc>
          <w:tcPr>
            <w:tcW w:w="0" w:type="auto"/>
            <w:tcBorders>
              <w:top w:val="nil"/>
              <w:left w:val="nil"/>
              <w:bottom w:val="single" w:color="auto" w:sz="4" w:space="0"/>
              <w:right w:val="single" w:color="auto" w:sz="4" w:space="0"/>
            </w:tcBorders>
            <w:shd w:val="clear" w:color="auto" w:fill="auto"/>
            <w:vAlign w:val="center"/>
          </w:tcPr>
          <w:p w14:paraId="2268C76D">
            <w:pPr>
              <w:keepNext w:val="0"/>
              <w:keepLines w:val="0"/>
              <w:pageBreakBefore w:val="0"/>
              <w:kinsoku/>
              <w:wordWrap/>
              <w:overflowPunct/>
              <w:topLinePunct w:val="0"/>
              <w:autoSpaceDE/>
              <w:autoSpaceDN/>
              <w:bidi w:val="0"/>
              <w:adjustRightInd/>
              <w:snapToGrid/>
              <w:spacing w:line="500" w:lineRule="exact"/>
              <w:jc w:val="center"/>
              <w:rPr>
                <w:rFonts w:hint="default" w:ascii="Times New Roman" w:hAnsi="Times New Roman" w:eastAsia="仿宋_GB2312" w:cs="Times New Roman"/>
                <w:color w:val="000000"/>
                <w:sz w:val="21"/>
                <w:szCs w:val="21"/>
                <w:highlight w:val="none"/>
                <w:lang w:val="en-US" w:eastAsia="zh-CN"/>
              </w:rPr>
            </w:pPr>
            <w:r>
              <w:rPr>
                <w:rFonts w:hint="eastAsia" w:eastAsia="仿宋_GB2312" w:cs="Times New Roman"/>
                <w:color w:val="000000"/>
                <w:sz w:val="21"/>
                <w:szCs w:val="21"/>
                <w:highlight w:val="none"/>
                <w:lang w:val="en-US" w:eastAsia="zh-CN"/>
              </w:rPr>
              <w:t>20</w:t>
            </w:r>
          </w:p>
        </w:tc>
        <w:tc>
          <w:tcPr>
            <w:tcW w:w="0" w:type="auto"/>
            <w:tcBorders>
              <w:top w:val="nil"/>
              <w:left w:val="nil"/>
              <w:bottom w:val="single" w:color="auto" w:sz="4" w:space="0"/>
              <w:right w:val="single" w:color="auto" w:sz="4" w:space="0"/>
            </w:tcBorders>
            <w:shd w:val="clear" w:color="auto" w:fill="auto"/>
            <w:vAlign w:val="center"/>
          </w:tcPr>
          <w:p w14:paraId="68269F32">
            <w:pPr>
              <w:keepNext w:val="0"/>
              <w:keepLines w:val="0"/>
              <w:pageBreakBefore w:val="0"/>
              <w:kinsoku/>
              <w:wordWrap/>
              <w:overflowPunct/>
              <w:topLinePunct w:val="0"/>
              <w:autoSpaceDE/>
              <w:autoSpaceDN/>
              <w:bidi w:val="0"/>
              <w:adjustRightInd/>
              <w:snapToGrid/>
              <w:spacing w:line="500" w:lineRule="exact"/>
              <w:jc w:val="center"/>
              <w:rPr>
                <w:rFonts w:hint="default" w:ascii="Times New Roman" w:hAnsi="Times New Roman" w:eastAsia="仿宋_GB2312" w:cs="Times New Roman"/>
                <w:color w:val="000000"/>
                <w:sz w:val="21"/>
                <w:szCs w:val="21"/>
                <w:highlight w:val="none"/>
                <w:lang w:val="en-US" w:eastAsia="zh-CN"/>
              </w:rPr>
            </w:pPr>
            <w:r>
              <w:rPr>
                <w:rFonts w:hint="eastAsia" w:eastAsia="仿宋_GB2312" w:cs="Times New Roman"/>
                <w:color w:val="000000"/>
                <w:sz w:val="21"/>
                <w:szCs w:val="21"/>
                <w:highlight w:val="none"/>
                <w:lang w:val="en-US" w:eastAsia="zh-CN"/>
              </w:rPr>
              <w:t>20</w:t>
            </w:r>
          </w:p>
        </w:tc>
        <w:tc>
          <w:tcPr>
            <w:tcW w:w="0" w:type="auto"/>
            <w:tcBorders>
              <w:top w:val="nil"/>
              <w:left w:val="nil"/>
              <w:bottom w:val="single" w:color="auto" w:sz="4" w:space="0"/>
              <w:right w:val="single" w:color="auto" w:sz="4" w:space="0"/>
            </w:tcBorders>
            <w:shd w:val="clear" w:color="auto" w:fill="auto"/>
            <w:vAlign w:val="center"/>
          </w:tcPr>
          <w:p w14:paraId="65CE3B51">
            <w:pPr>
              <w:keepNext w:val="0"/>
              <w:keepLines w:val="0"/>
              <w:pageBreakBefore w:val="0"/>
              <w:kinsoku/>
              <w:wordWrap/>
              <w:overflowPunct/>
              <w:topLinePunct w:val="0"/>
              <w:autoSpaceDE/>
              <w:autoSpaceDN/>
              <w:bidi w:val="0"/>
              <w:adjustRightInd/>
              <w:snapToGrid/>
              <w:spacing w:line="500" w:lineRule="exact"/>
              <w:jc w:val="center"/>
              <w:rPr>
                <w:rFonts w:hint="default" w:ascii="Times New Roman" w:hAnsi="Times New Roman" w:eastAsia="仿宋_GB2312" w:cs="Times New Roman"/>
                <w:color w:val="000000"/>
                <w:sz w:val="21"/>
                <w:szCs w:val="21"/>
                <w:highlight w:val="none"/>
              </w:rPr>
            </w:pPr>
            <w:r>
              <w:rPr>
                <w:rFonts w:hint="eastAsia" w:eastAsia="仿宋_GB2312" w:cs="Times New Roman"/>
                <w:color w:val="000000"/>
                <w:sz w:val="21"/>
                <w:szCs w:val="21"/>
                <w:highlight w:val="none"/>
                <w:lang w:val="en-US" w:eastAsia="zh-CN"/>
              </w:rPr>
              <w:t>100%</w:t>
            </w:r>
          </w:p>
        </w:tc>
      </w:tr>
      <w:tr w14:paraId="5165E8D8">
        <w:tblPrEx>
          <w:tblCellMar>
            <w:top w:w="0" w:type="dxa"/>
            <w:left w:w="108" w:type="dxa"/>
            <w:bottom w:w="0" w:type="dxa"/>
            <w:right w:w="108" w:type="dxa"/>
          </w:tblCellMar>
        </w:tblPrEx>
        <w:trPr>
          <w:trHeight w:val="340" w:hRule="atLeast"/>
          <w:jc w:val="center"/>
        </w:trPr>
        <w:tc>
          <w:tcPr>
            <w:tcW w:w="0" w:type="auto"/>
            <w:tcBorders>
              <w:top w:val="nil"/>
              <w:left w:val="single" w:color="auto" w:sz="4" w:space="0"/>
              <w:bottom w:val="single" w:color="auto" w:sz="4" w:space="0"/>
              <w:right w:val="single" w:color="auto" w:sz="4" w:space="0"/>
            </w:tcBorders>
            <w:shd w:val="clear" w:color="auto" w:fill="auto"/>
            <w:vAlign w:val="center"/>
          </w:tcPr>
          <w:p w14:paraId="48C22313">
            <w:pPr>
              <w:keepNext w:val="0"/>
              <w:keepLines w:val="0"/>
              <w:pageBreakBefore w:val="0"/>
              <w:kinsoku/>
              <w:wordWrap/>
              <w:overflowPunct/>
              <w:topLinePunct w:val="0"/>
              <w:autoSpaceDE/>
              <w:autoSpaceDN/>
              <w:bidi w:val="0"/>
              <w:adjustRightInd/>
              <w:snapToGrid/>
              <w:spacing w:line="500" w:lineRule="exact"/>
              <w:jc w:val="center"/>
              <w:rPr>
                <w:rFonts w:hint="default" w:ascii="Times New Roman" w:hAnsi="Times New Roman" w:eastAsia="仿宋_GB2312" w:cs="Times New Roman"/>
                <w:b/>
                <w:bCs/>
                <w:color w:val="000000"/>
                <w:sz w:val="21"/>
                <w:szCs w:val="21"/>
                <w:highlight w:val="none"/>
              </w:rPr>
            </w:pPr>
            <w:r>
              <w:rPr>
                <w:rFonts w:hint="default" w:ascii="Times New Roman" w:hAnsi="Times New Roman" w:eastAsia="仿宋_GB2312" w:cs="Times New Roman"/>
                <w:b/>
                <w:bCs/>
                <w:color w:val="000000"/>
                <w:sz w:val="21"/>
                <w:szCs w:val="21"/>
                <w:highlight w:val="none"/>
              </w:rPr>
              <w:t>合计</w:t>
            </w:r>
          </w:p>
        </w:tc>
        <w:tc>
          <w:tcPr>
            <w:tcW w:w="0" w:type="auto"/>
            <w:tcBorders>
              <w:top w:val="nil"/>
              <w:left w:val="nil"/>
              <w:bottom w:val="single" w:color="auto" w:sz="4" w:space="0"/>
              <w:right w:val="single" w:color="auto" w:sz="4" w:space="0"/>
            </w:tcBorders>
            <w:shd w:val="clear" w:color="auto" w:fill="auto"/>
            <w:vAlign w:val="center"/>
          </w:tcPr>
          <w:p w14:paraId="39C98C7B">
            <w:pPr>
              <w:keepNext w:val="0"/>
              <w:keepLines w:val="0"/>
              <w:pageBreakBefore w:val="0"/>
              <w:kinsoku/>
              <w:wordWrap/>
              <w:overflowPunct/>
              <w:topLinePunct w:val="0"/>
              <w:autoSpaceDE/>
              <w:autoSpaceDN/>
              <w:bidi w:val="0"/>
              <w:adjustRightInd/>
              <w:snapToGrid/>
              <w:spacing w:line="500" w:lineRule="exact"/>
              <w:jc w:val="center"/>
              <w:rPr>
                <w:rFonts w:hint="default" w:ascii="Times New Roman" w:hAnsi="Times New Roman" w:eastAsia="仿宋_GB2312" w:cs="Times New Roman"/>
                <w:b/>
                <w:bCs/>
                <w:color w:val="000000"/>
                <w:sz w:val="21"/>
                <w:szCs w:val="21"/>
                <w:highlight w:val="none"/>
                <w:lang w:val="en-US" w:eastAsia="zh-CN"/>
              </w:rPr>
            </w:pPr>
            <w:r>
              <w:rPr>
                <w:rFonts w:hint="default" w:ascii="Times New Roman" w:hAnsi="Times New Roman" w:eastAsia="仿宋_GB2312" w:cs="Times New Roman"/>
                <w:b/>
                <w:bCs/>
                <w:color w:val="000000"/>
                <w:sz w:val="21"/>
                <w:szCs w:val="21"/>
                <w:highlight w:val="none"/>
                <w:lang w:val="en-US" w:eastAsia="zh-CN"/>
              </w:rPr>
              <w:t>100</w:t>
            </w:r>
          </w:p>
        </w:tc>
        <w:tc>
          <w:tcPr>
            <w:tcW w:w="0" w:type="auto"/>
            <w:tcBorders>
              <w:top w:val="nil"/>
              <w:left w:val="nil"/>
              <w:bottom w:val="single" w:color="auto" w:sz="4" w:space="0"/>
              <w:right w:val="single" w:color="auto" w:sz="4" w:space="0"/>
            </w:tcBorders>
            <w:shd w:val="clear" w:color="auto" w:fill="auto"/>
            <w:vAlign w:val="center"/>
          </w:tcPr>
          <w:p w14:paraId="781C6883">
            <w:pPr>
              <w:keepNext w:val="0"/>
              <w:keepLines w:val="0"/>
              <w:pageBreakBefore w:val="0"/>
              <w:kinsoku/>
              <w:wordWrap/>
              <w:overflowPunct/>
              <w:topLinePunct w:val="0"/>
              <w:autoSpaceDE/>
              <w:autoSpaceDN/>
              <w:bidi w:val="0"/>
              <w:adjustRightInd/>
              <w:snapToGrid/>
              <w:spacing w:line="500" w:lineRule="exact"/>
              <w:jc w:val="center"/>
              <w:rPr>
                <w:rFonts w:hint="default" w:ascii="Times New Roman" w:hAnsi="Times New Roman" w:eastAsia="仿宋_GB2312" w:cs="Times New Roman"/>
                <w:b/>
                <w:bCs/>
                <w:color w:val="000000"/>
                <w:sz w:val="21"/>
                <w:szCs w:val="21"/>
                <w:highlight w:val="none"/>
                <w:lang w:val="en-US" w:eastAsia="zh-CN"/>
              </w:rPr>
            </w:pPr>
            <w:r>
              <w:rPr>
                <w:rFonts w:hint="eastAsia" w:eastAsia="仿宋_GB2312" w:cs="Times New Roman"/>
                <w:b/>
                <w:bCs/>
                <w:color w:val="000000"/>
                <w:sz w:val="21"/>
                <w:szCs w:val="21"/>
                <w:highlight w:val="none"/>
                <w:lang w:val="en-US" w:eastAsia="zh-CN"/>
              </w:rPr>
              <w:t>99.32</w:t>
            </w:r>
          </w:p>
        </w:tc>
        <w:tc>
          <w:tcPr>
            <w:tcW w:w="0" w:type="auto"/>
            <w:tcBorders>
              <w:top w:val="nil"/>
              <w:left w:val="nil"/>
              <w:bottom w:val="single" w:color="auto" w:sz="4" w:space="0"/>
              <w:right w:val="single" w:color="auto" w:sz="4" w:space="0"/>
            </w:tcBorders>
            <w:shd w:val="clear" w:color="auto" w:fill="auto"/>
            <w:vAlign w:val="center"/>
          </w:tcPr>
          <w:p w14:paraId="4937A161">
            <w:pPr>
              <w:keepNext w:val="0"/>
              <w:keepLines w:val="0"/>
              <w:pageBreakBefore w:val="0"/>
              <w:kinsoku/>
              <w:wordWrap/>
              <w:overflowPunct/>
              <w:topLinePunct w:val="0"/>
              <w:autoSpaceDE/>
              <w:autoSpaceDN/>
              <w:bidi w:val="0"/>
              <w:adjustRightInd/>
              <w:snapToGrid/>
              <w:spacing w:line="500" w:lineRule="exact"/>
              <w:jc w:val="center"/>
              <w:rPr>
                <w:rFonts w:hint="default" w:ascii="Times New Roman" w:hAnsi="Times New Roman" w:eastAsia="仿宋_GB2312" w:cs="Times New Roman"/>
                <w:b/>
                <w:bCs/>
                <w:color w:val="000000"/>
                <w:sz w:val="21"/>
                <w:szCs w:val="21"/>
                <w:highlight w:val="none"/>
                <w:lang w:val="en-US"/>
              </w:rPr>
            </w:pPr>
            <w:r>
              <w:rPr>
                <w:rFonts w:hint="eastAsia" w:eastAsia="仿宋_GB2312" w:cs="Times New Roman"/>
                <w:b/>
                <w:bCs/>
                <w:color w:val="000000"/>
                <w:sz w:val="21"/>
                <w:szCs w:val="21"/>
                <w:highlight w:val="none"/>
                <w:lang w:val="en-US" w:eastAsia="zh-CN"/>
              </w:rPr>
              <w:t>99.32%</w:t>
            </w:r>
          </w:p>
        </w:tc>
      </w:tr>
    </w:tbl>
    <w:p w14:paraId="7C90A340">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rPr>
        <w:t>四、绩效评价指标分析</w:t>
      </w:r>
    </w:p>
    <w:p w14:paraId="6516A3F9">
      <w:pPr>
        <w:keepNext w:val="0"/>
        <w:keepLines w:val="0"/>
        <w:pageBreakBefore w:val="0"/>
        <w:widowControl w:val="0"/>
        <w:kinsoku/>
        <w:wordWrap w:val="0"/>
        <w:overflowPunct/>
        <w:topLinePunct/>
        <w:autoSpaceDE/>
        <w:autoSpaceDN/>
        <w:bidi w:val="0"/>
        <w:adjustRightInd/>
        <w:snapToGrid/>
        <w:spacing w:line="560" w:lineRule="exact"/>
        <w:ind w:firstLine="643" w:firstLineChars="200"/>
        <w:textAlignment w:val="auto"/>
        <w:rPr>
          <w:rFonts w:hint="eastAsia" w:ascii="楷体" w:hAnsi="楷体" w:eastAsia="楷体" w:cs="楷体"/>
          <w:b/>
          <w:bCs/>
          <w:sz w:val="32"/>
          <w:szCs w:val="32"/>
        </w:rPr>
      </w:pPr>
      <w:r>
        <w:rPr>
          <w:rFonts w:hint="eastAsia" w:ascii="楷体" w:hAnsi="楷体" w:eastAsia="楷体" w:cs="楷体"/>
          <w:b/>
          <w:bCs/>
          <w:sz w:val="32"/>
          <w:szCs w:val="32"/>
        </w:rPr>
        <w:t>（一）项目决策情况</w:t>
      </w:r>
    </w:p>
    <w:p w14:paraId="39C9CF67">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项目决策类指标包括项目立项、绩效目标和资金投入三方面的内容，由6个三级指标构成，权重分值为20分，实际得分20分，得分率为100%。</w:t>
      </w:r>
    </w:p>
    <w:p w14:paraId="2C337CF9">
      <w:pPr>
        <w:keepNext w:val="0"/>
        <w:keepLines w:val="0"/>
        <w:pageBreakBefore w:val="0"/>
        <w:widowControl w:val="0"/>
        <w:kinsoku/>
        <w:wordWrap w:val="0"/>
        <w:overflowPunct/>
        <w:topLinePunct/>
        <w:autoSpaceDE/>
        <w:autoSpaceDN/>
        <w:bidi w:val="0"/>
        <w:adjustRightInd/>
        <w:snapToGrid/>
        <w:spacing w:line="560" w:lineRule="exact"/>
        <w:ind w:firstLine="643" w:firstLineChars="200"/>
        <w:textAlignment w:val="auto"/>
        <w:rPr>
          <w:rFonts w:hint="default" w:ascii="Times New Roman" w:hAnsi="Times New Roman" w:eastAsia="仿宋_GB2312" w:cs="Times New Roman"/>
          <w:b/>
          <w:bCs/>
          <w:sz w:val="32"/>
          <w:szCs w:val="32"/>
          <w:lang w:val="en-US" w:eastAsia="zh-CN"/>
        </w:rPr>
      </w:pPr>
      <w:r>
        <w:rPr>
          <w:rFonts w:hint="default" w:ascii="Times New Roman" w:hAnsi="Times New Roman" w:eastAsia="仿宋_GB2312" w:cs="Times New Roman"/>
          <w:b/>
          <w:bCs/>
          <w:sz w:val="32"/>
          <w:szCs w:val="32"/>
          <w:lang w:val="en-US" w:eastAsia="zh-CN"/>
        </w:rPr>
        <w:t>1.项目立项</w:t>
      </w:r>
    </w:p>
    <w:p w14:paraId="16178168">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（1）立项依据充分性</w:t>
      </w:r>
    </w:p>
    <w:p w14:paraId="770D6952">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按照国家林原局《新一轮退耕还林检查验收办法》和《奇台县2024年退耕还林检查验收方案》、《新疆维吾尔自治区新一轮退耕还林工程管理办法（暂行）的通知》文件要求，该项目立项符合国家相关法律法规及发展政策，符合行业规划要求，围绕本年度工作重点和工作计划制定经费预算，属于公共财政支持范围。本项目与部门内部其他相关项目不重复。部门发展规划及职能文件等归档完整。</w:t>
      </w:r>
    </w:p>
    <w:p w14:paraId="136B9878">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（2）立项程序规范性</w:t>
      </w:r>
    </w:p>
    <w:p w14:paraId="3A579ED7">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rPr>
        <w:t>昌州财建（2023）135号关于提前下达2024年中央林业草原改革发展资金预算的投资</w:t>
      </w:r>
      <w:r>
        <w:rPr>
          <w:rFonts w:hint="default" w:ascii="Times New Roman" w:hAnsi="Times New Roman" w:eastAsia="仿宋_GB2312" w:cs="Times New Roman"/>
          <w:sz w:val="32"/>
          <w:szCs w:val="32"/>
          <w:lang w:val="en-US" w:eastAsia="zh-CN"/>
        </w:rPr>
        <w:t>项目的</w:t>
      </w:r>
      <w:r>
        <w:rPr>
          <w:rFonts w:hint="default" w:ascii="Times New Roman" w:hAnsi="Times New Roman" w:eastAsia="仿宋_GB2312" w:cs="Times New Roman"/>
          <w:sz w:val="32"/>
          <w:szCs w:val="32"/>
        </w:rPr>
        <w:t>申请、设立过程符合财政部《项目支出绩效评价管理办法》（财预〔2020〕10号）文件要求，</w:t>
      </w:r>
      <w:r>
        <w:rPr>
          <w:rFonts w:hint="default" w:ascii="Times New Roman" w:hAnsi="Times New Roman" w:eastAsia="仿宋_GB2312" w:cs="Times New Roman"/>
          <w:sz w:val="32"/>
          <w:szCs w:val="32"/>
          <w:lang w:eastAsia="zh-Hans"/>
        </w:rPr>
        <w:t>严格按照审批流程准备符合要求的文件、材料；</w:t>
      </w:r>
      <w:r>
        <w:rPr>
          <w:rFonts w:hint="default" w:ascii="Times New Roman" w:hAnsi="Times New Roman" w:eastAsia="仿宋_GB2312" w:cs="Times New Roman"/>
          <w:sz w:val="32"/>
          <w:szCs w:val="32"/>
          <w:lang w:val="en-US" w:eastAsia="zh-CN"/>
        </w:rPr>
        <w:t>根据决算依据编制工作计划和经费预算，经过与部门项目分管领导沟通、筛选确定经费预算计划，确定最终预算方案。项目的审批文件、材料符合相关要求，项目事前经过必要的可行性研究、专家论证、风险评估、绩效评估、集体决策，保障了程序的规范性。</w:t>
      </w:r>
    </w:p>
    <w:p w14:paraId="0AFF4952">
      <w:pPr>
        <w:keepNext w:val="0"/>
        <w:keepLines w:val="0"/>
        <w:pageBreakBefore w:val="0"/>
        <w:widowControl w:val="0"/>
        <w:kinsoku/>
        <w:wordWrap w:val="0"/>
        <w:overflowPunct/>
        <w:topLinePunct/>
        <w:autoSpaceDE/>
        <w:autoSpaceDN/>
        <w:bidi w:val="0"/>
        <w:adjustRightInd/>
        <w:snapToGrid/>
        <w:spacing w:line="560" w:lineRule="exact"/>
        <w:ind w:firstLine="643" w:firstLineChars="200"/>
        <w:textAlignment w:val="auto"/>
        <w:rPr>
          <w:rFonts w:hint="default" w:ascii="Times New Roman" w:hAnsi="Times New Roman" w:eastAsia="仿宋_GB2312" w:cs="Times New Roman"/>
          <w:b/>
          <w:bCs/>
          <w:sz w:val="32"/>
          <w:szCs w:val="32"/>
          <w:lang w:val="en-US" w:eastAsia="zh-CN"/>
        </w:rPr>
      </w:pPr>
      <w:r>
        <w:rPr>
          <w:rFonts w:hint="default" w:ascii="Times New Roman" w:hAnsi="Times New Roman" w:eastAsia="仿宋_GB2312" w:cs="Times New Roman"/>
          <w:b/>
          <w:bCs/>
          <w:sz w:val="32"/>
          <w:szCs w:val="32"/>
          <w:lang w:val="en-US" w:eastAsia="zh-CN"/>
        </w:rPr>
        <w:t>2.绩效目标</w:t>
      </w:r>
    </w:p>
    <w:p w14:paraId="431DEF1C">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（1）绩效目标合理性</w:t>
      </w:r>
    </w:p>
    <w:p w14:paraId="677B303A">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Hans"/>
        </w:rPr>
        <w:t>年初结合实际工作内容</w:t>
      </w:r>
      <w:r>
        <w:rPr>
          <w:rFonts w:hint="default" w:ascii="Times New Roman" w:hAnsi="Times New Roman" w:eastAsia="仿宋_GB2312" w:cs="Times New Roman"/>
          <w:sz w:val="32"/>
          <w:szCs w:val="32"/>
          <w:lang w:val="en-US" w:eastAsia="zh-CN"/>
        </w:rPr>
        <w:t>设定绩效目标</w:t>
      </w:r>
      <w:r>
        <w:rPr>
          <w:rFonts w:hint="default" w:ascii="Times New Roman" w:hAnsi="Times New Roman" w:eastAsia="仿宋_GB2312" w:cs="Times New Roman"/>
          <w:sz w:val="32"/>
          <w:szCs w:val="32"/>
          <w:lang w:val="en-US" w:eastAsia="zh-Hans"/>
        </w:rPr>
        <w:t>，绩效目标</w:t>
      </w:r>
      <w:r>
        <w:rPr>
          <w:rFonts w:hint="default" w:ascii="Times New Roman" w:hAnsi="Times New Roman" w:eastAsia="仿宋_GB2312" w:cs="Times New Roman"/>
          <w:sz w:val="32"/>
          <w:szCs w:val="32"/>
          <w:lang w:val="en-US" w:eastAsia="zh-CN"/>
        </w:rPr>
        <w:t>依据充分，符合客观实际，能反映和考核项目绩效目标与项目实施的相符情况，依据绩效目标设定的绩效指标清晰、细化、可衡量，能反映和考核项目绩效目标的明细化情况。绩效目标表经过审核，绩效目标与实际工作内容具有相关性，预算与确定的项目投资额相匹配，对项目任务进行了详细分解。项目预期产出效益及效果符合正常的业绩水平。</w:t>
      </w:r>
    </w:p>
    <w:p w14:paraId="2DE3ED2D">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（2）绩效指标明确性</w:t>
      </w:r>
    </w:p>
    <w:p w14:paraId="27CD0B78">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项目设置了明确的预期产出效益和效果，将绩效目标细化分解为具体的绩效指标，绩效目标与项目目标任务数相对应，绩效目标设定的绩效指标清晰、细化、可衡量。</w:t>
      </w:r>
    </w:p>
    <w:p w14:paraId="06E5C444">
      <w:pPr>
        <w:keepNext w:val="0"/>
        <w:keepLines w:val="0"/>
        <w:pageBreakBefore w:val="0"/>
        <w:widowControl w:val="0"/>
        <w:kinsoku/>
        <w:wordWrap w:val="0"/>
        <w:overflowPunct/>
        <w:topLinePunct/>
        <w:autoSpaceDE/>
        <w:autoSpaceDN/>
        <w:bidi w:val="0"/>
        <w:adjustRightInd/>
        <w:snapToGrid/>
        <w:spacing w:line="560" w:lineRule="exact"/>
        <w:ind w:firstLine="643" w:firstLineChars="200"/>
        <w:textAlignment w:val="auto"/>
        <w:rPr>
          <w:rFonts w:hint="default" w:ascii="Times New Roman" w:hAnsi="Times New Roman" w:eastAsia="仿宋_GB2312" w:cs="Times New Roman"/>
          <w:b/>
          <w:bCs/>
          <w:sz w:val="32"/>
          <w:szCs w:val="32"/>
          <w:lang w:val="en-US" w:eastAsia="zh-CN"/>
        </w:rPr>
      </w:pPr>
      <w:r>
        <w:rPr>
          <w:rFonts w:hint="default" w:ascii="Times New Roman" w:hAnsi="Times New Roman" w:eastAsia="仿宋_GB2312" w:cs="Times New Roman"/>
          <w:b/>
          <w:bCs/>
          <w:sz w:val="32"/>
          <w:szCs w:val="32"/>
          <w:lang w:val="en-US" w:eastAsia="zh-CN"/>
        </w:rPr>
        <w:t>3.资金投入</w:t>
      </w:r>
    </w:p>
    <w:p w14:paraId="05CBCA0F">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（1）预算编制科学性</w:t>
      </w:r>
    </w:p>
    <w:p w14:paraId="16DADF56">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lang w:eastAsia="zh-CN"/>
        </w:rPr>
        <w:t>本项目的预算编制过程严谨、科学，充分体现了精细化管理的要求。预算编制之初，进行了全面的成本估算，确保项目所需的各项资源得到合理的预估与分配。同时，预算编制还紧密结合了项目的特点与实际情况，对不同阶段、不同任务的资金需求进行了详细的分析与计算。</w:t>
      </w:r>
    </w:p>
    <w:p w14:paraId="05FB7AB4">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lang w:eastAsia="zh-CN"/>
        </w:rPr>
        <w:t>在预算编制过程中，</w:t>
      </w:r>
      <w:r>
        <w:rPr>
          <w:rFonts w:hint="default" w:ascii="Times New Roman" w:hAnsi="Times New Roman" w:eastAsia="仿宋_GB2312" w:cs="Times New Roman"/>
          <w:sz w:val="32"/>
          <w:szCs w:val="32"/>
          <w:lang w:val="en-US" w:eastAsia="zh-CN"/>
        </w:rPr>
        <w:t>还</w:t>
      </w:r>
      <w:r>
        <w:rPr>
          <w:rFonts w:hint="default" w:ascii="Times New Roman" w:hAnsi="Times New Roman" w:eastAsia="仿宋_GB2312" w:cs="Times New Roman"/>
          <w:sz w:val="32"/>
          <w:szCs w:val="32"/>
          <w:lang w:eastAsia="zh-CN"/>
        </w:rPr>
        <w:t>注重了成本控制与效益最大化的原则。通过优化资源配置、提高资金使用效率等措施，确保项目在有限的预算内取得最大的经济效益与社会效益。此外，预算编制还充分考虑了风险因素，对可能出现的超支情况进行了预留与规划，以应对项目实施过程中的不确定性。</w:t>
      </w:r>
    </w:p>
    <w:p w14:paraId="0F53085D">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（2）资金分配合理性</w:t>
      </w:r>
    </w:p>
    <w:p w14:paraId="1A655100">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lang w:eastAsia="zh-CN"/>
        </w:rPr>
        <w:t>本项目的资金分配遵循了公平、公正、透明的原则，确保了项目资源的合理配置与高效利用。在资金分配过程中，我们充分考虑了项目的实际需求与目标，对不同阶段、不同任务的资金进行了科学的规划与安排。</w:t>
      </w:r>
    </w:p>
    <w:p w14:paraId="778221C9">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lang w:eastAsia="zh-CN"/>
        </w:rPr>
        <w:t>具体而言，资金分配紧密结合了项目的特点与实际情况，对关键领域与重要环节给予了重点支持。同时，我们也注重了资金的均衡分配，避免了资源浪费与资金闲置。此外，资金分配还充分考虑了风险因素，对可能出现的超支情况进行了预留与调整。</w:t>
      </w:r>
    </w:p>
    <w:p w14:paraId="31FCFDB2">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lang w:eastAsia="zh-CN"/>
        </w:rPr>
        <w:t>综上所述，本项目的资金分配是合理的、科学的，既符合项目的实际情况，又满足了资金使用的效益最大化要求。资金分配的合理性为项目的成功实施提供了有力的保障，也为项目的绩效评价奠定了坚实的基础。</w:t>
      </w:r>
    </w:p>
    <w:p w14:paraId="297ED172">
      <w:pPr>
        <w:keepNext w:val="0"/>
        <w:keepLines w:val="0"/>
        <w:pageBreakBefore w:val="0"/>
        <w:widowControl w:val="0"/>
        <w:kinsoku/>
        <w:wordWrap w:val="0"/>
        <w:overflowPunct/>
        <w:topLinePunct/>
        <w:autoSpaceDE/>
        <w:autoSpaceDN/>
        <w:bidi w:val="0"/>
        <w:adjustRightInd/>
        <w:snapToGrid/>
        <w:spacing w:line="560" w:lineRule="exact"/>
        <w:ind w:firstLine="643" w:firstLineChars="200"/>
        <w:textAlignment w:val="auto"/>
        <w:rPr>
          <w:rFonts w:hint="default" w:ascii="楷体" w:hAnsi="楷体" w:eastAsia="楷体" w:cs="楷体"/>
          <w:b/>
          <w:bCs/>
          <w:sz w:val="32"/>
          <w:szCs w:val="32"/>
        </w:rPr>
      </w:pPr>
      <w:r>
        <w:rPr>
          <w:rFonts w:hint="eastAsia" w:ascii="楷体" w:hAnsi="楷体" w:eastAsia="楷体" w:cs="楷体"/>
          <w:b/>
          <w:bCs/>
          <w:sz w:val="32"/>
          <w:szCs w:val="32"/>
          <w:lang w:eastAsia="zh-CN"/>
        </w:rPr>
        <w:t>（</w:t>
      </w:r>
      <w:r>
        <w:rPr>
          <w:rFonts w:hint="eastAsia" w:ascii="楷体" w:hAnsi="楷体" w:eastAsia="楷体" w:cs="楷体"/>
          <w:b/>
          <w:bCs/>
          <w:sz w:val="32"/>
          <w:szCs w:val="32"/>
          <w:lang w:val="en-US" w:eastAsia="zh-CN"/>
        </w:rPr>
        <w:t>二</w:t>
      </w:r>
      <w:r>
        <w:rPr>
          <w:rFonts w:hint="eastAsia" w:ascii="楷体" w:hAnsi="楷体" w:eastAsia="楷体" w:cs="楷体"/>
          <w:b/>
          <w:bCs/>
          <w:sz w:val="32"/>
          <w:szCs w:val="32"/>
          <w:lang w:eastAsia="zh-CN"/>
        </w:rPr>
        <w:t>）</w:t>
      </w:r>
      <w:r>
        <w:rPr>
          <w:rFonts w:hint="default" w:ascii="楷体" w:hAnsi="楷体" w:eastAsia="楷体" w:cs="楷体"/>
          <w:b/>
          <w:bCs/>
          <w:sz w:val="32"/>
          <w:szCs w:val="32"/>
        </w:rPr>
        <w:t>项目过程情况</w:t>
      </w:r>
    </w:p>
    <w:p w14:paraId="38880E3A">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lang w:val="en-US" w:eastAsia="zh-CN"/>
        </w:rPr>
        <w:t>项目过程类指标包括资金管理和组织实施两</w:t>
      </w:r>
      <w:r>
        <w:rPr>
          <w:rFonts w:hint="default" w:ascii="Times New Roman" w:hAnsi="Times New Roman" w:eastAsia="仿宋_GB2312" w:cs="Times New Roman"/>
          <w:sz w:val="32"/>
          <w:szCs w:val="32"/>
          <w:highlight w:val="none"/>
          <w:lang w:val="en-US" w:eastAsia="zh-CN"/>
        </w:rPr>
        <w:t>方面的内容，由5个三级指标构成，权重分值为20分，实际得分19.82分，得分率为95.4%。</w:t>
      </w:r>
    </w:p>
    <w:p w14:paraId="03BD520B">
      <w:pPr>
        <w:keepNext w:val="0"/>
        <w:keepLines w:val="0"/>
        <w:pageBreakBefore w:val="0"/>
        <w:widowControl w:val="0"/>
        <w:kinsoku/>
        <w:wordWrap w:val="0"/>
        <w:overflowPunct/>
        <w:topLinePunct/>
        <w:autoSpaceDE/>
        <w:autoSpaceDN/>
        <w:bidi w:val="0"/>
        <w:adjustRightInd/>
        <w:snapToGrid/>
        <w:spacing w:line="560" w:lineRule="exact"/>
        <w:ind w:firstLine="643" w:firstLineChars="200"/>
        <w:textAlignment w:val="auto"/>
        <w:rPr>
          <w:rFonts w:hint="default" w:ascii="Times New Roman" w:hAnsi="Times New Roman" w:eastAsia="仿宋_GB2312" w:cs="Times New Roman"/>
          <w:b/>
          <w:bCs/>
          <w:sz w:val="32"/>
          <w:szCs w:val="32"/>
          <w:lang w:val="en-US" w:eastAsia="zh-CN"/>
        </w:rPr>
      </w:pPr>
      <w:r>
        <w:rPr>
          <w:rFonts w:hint="default" w:ascii="Times New Roman" w:hAnsi="Times New Roman" w:eastAsia="仿宋_GB2312" w:cs="Times New Roman"/>
          <w:b/>
          <w:bCs/>
          <w:sz w:val="32"/>
          <w:szCs w:val="32"/>
          <w:lang w:val="en-US" w:eastAsia="zh-CN"/>
        </w:rPr>
        <w:t>1.资金管理</w:t>
      </w:r>
    </w:p>
    <w:p w14:paraId="7F599E8F">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（1）资金到位率</w:t>
      </w:r>
    </w:p>
    <w:p w14:paraId="2DAB0D41">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本项目总投资1363.06万元，财政资金及时足额到位，到位率</w:t>
      </w:r>
      <w:r>
        <w:rPr>
          <w:rFonts w:hint="eastAsia" w:eastAsia="仿宋_GB2312" w:cs="Times New Roman"/>
          <w:sz w:val="32"/>
          <w:szCs w:val="32"/>
          <w:lang w:val="en-US" w:eastAsia="zh-CN"/>
        </w:rPr>
        <w:t>100</w:t>
      </w:r>
      <w:r>
        <w:rPr>
          <w:rFonts w:hint="default" w:ascii="Times New Roman" w:hAnsi="Times New Roman" w:eastAsia="仿宋_GB2312" w:cs="Times New Roman"/>
          <w:sz w:val="32"/>
          <w:szCs w:val="32"/>
          <w:lang w:val="en-US" w:eastAsia="zh-CN"/>
        </w:rPr>
        <w:t>%，预算资金按计划进度执行。</w:t>
      </w:r>
    </w:p>
    <w:p w14:paraId="496A9E70">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（2）预算执行率</w:t>
      </w:r>
    </w:p>
    <w:p w14:paraId="33C6E8C9">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预算编制较为详细，项目资金支出总体能够按照预算执行，预算资金支出1300.21</w:t>
      </w:r>
      <w:r>
        <w:rPr>
          <w:rFonts w:hint="eastAsia" w:eastAsia="仿宋_GB2312" w:cs="Times New Roman"/>
          <w:sz w:val="32"/>
          <w:szCs w:val="32"/>
          <w:lang w:val="en-US" w:eastAsia="zh-CN"/>
        </w:rPr>
        <w:t>万元</w:t>
      </w:r>
      <w:r>
        <w:rPr>
          <w:rFonts w:hint="default" w:ascii="Times New Roman" w:hAnsi="Times New Roman" w:eastAsia="仿宋_GB2312" w:cs="Times New Roman"/>
          <w:sz w:val="32"/>
          <w:szCs w:val="32"/>
          <w:lang w:val="en-US" w:eastAsia="zh-CN"/>
        </w:rPr>
        <w:t>，预算执行率为95.39%。</w:t>
      </w:r>
    </w:p>
    <w:p w14:paraId="683CE9C1">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（3）资金使用合规性</w:t>
      </w:r>
    </w:p>
    <w:p w14:paraId="79B49D46">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lang w:eastAsia="zh-CN"/>
        </w:rPr>
        <w:t>本项目的资金使用严格遵循了</w:t>
      </w:r>
      <w:r>
        <w:rPr>
          <w:rFonts w:hint="default" w:ascii="Times New Roman" w:hAnsi="Times New Roman" w:eastAsia="仿宋_GB2312" w:cs="Times New Roman"/>
          <w:sz w:val="32"/>
          <w:szCs w:val="32"/>
          <w:lang w:val="en-US" w:eastAsia="zh-CN"/>
        </w:rPr>
        <w:t>《退耕还林条例》、《完善退耕还林政策补助资金管理办法》和《林业草原改革发展资金管理办法》</w:t>
      </w:r>
      <w:r>
        <w:rPr>
          <w:rFonts w:hint="default" w:ascii="Times New Roman" w:hAnsi="Times New Roman" w:eastAsia="仿宋_GB2312" w:cs="Times New Roman"/>
          <w:sz w:val="32"/>
          <w:szCs w:val="32"/>
          <w:lang w:eastAsia="zh-CN"/>
        </w:rPr>
        <w:t>，确保了资金的合规性与安全性。在资金使用过程中，我们建立了完善的财务管理体系，对资金的流动进行了全程监控与记录。</w:t>
      </w:r>
    </w:p>
    <w:p w14:paraId="12042347">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lang w:eastAsia="zh-CN"/>
        </w:rPr>
        <w:t>具体而言，资金使用坚持了专款专用的原则，确保了项目资金不被挪用或截留。同时，我们还加强了对资金使用的审计与监督，定期对财务收支进行自查与自纠，及时发现并纠正可能存在的问题。此外，资金使用还充分考虑了成本效益原则，通过优化资源配置、提高资金使用效率等措施，确保了项目资金的最大化利用。</w:t>
      </w:r>
    </w:p>
    <w:p w14:paraId="3FFE9B19">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lang w:eastAsia="zh-CN"/>
        </w:rPr>
        <w:t>综上所述，本项目的资金使用是合规的、安全的，既符合国家相关法律法规与财务制度的要求，又满足了项目实施的实际需要。资金使用的合规性为项目的成功实施提供了有力的保障，也为项目的绩效评价奠定了坚实的基础。</w:t>
      </w:r>
    </w:p>
    <w:p w14:paraId="2F4EF74A">
      <w:pPr>
        <w:keepNext w:val="0"/>
        <w:keepLines w:val="0"/>
        <w:pageBreakBefore w:val="0"/>
        <w:widowControl w:val="0"/>
        <w:kinsoku/>
        <w:wordWrap w:val="0"/>
        <w:overflowPunct/>
        <w:topLinePunct/>
        <w:autoSpaceDE/>
        <w:autoSpaceDN/>
        <w:bidi w:val="0"/>
        <w:adjustRightInd/>
        <w:snapToGrid/>
        <w:spacing w:line="560" w:lineRule="exact"/>
        <w:ind w:firstLine="643" w:firstLineChars="200"/>
        <w:textAlignment w:val="auto"/>
        <w:rPr>
          <w:rFonts w:hint="default" w:ascii="Times New Roman" w:hAnsi="Times New Roman" w:eastAsia="仿宋_GB2312" w:cs="Times New Roman"/>
          <w:b/>
          <w:bCs/>
          <w:sz w:val="32"/>
          <w:szCs w:val="32"/>
          <w:lang w:val="en-US" w:eastAsia="zh-CN"/>
        </w:rPr>
      </w:pPr>
      <w:r>
        <w:rPr>
          <w:rFonts w:hint="default" w:ascii="Times New Roman" w:hAnsi="Times New Roman" w:eastAsia="仿宋_GB2312" w:cs="Times New Roman"/>
          <w:b/>
          <w:bCs/>
          <w:sz w:val="32"/>
          <w:szCs w:val="32"/>
          <w:lang w:val="en-US" w:eastAsia="zh-CN"/>
        </w:rPr>
        <w:t>2.组织实施</w:t>
      </w:r>
    </w:p>
    <w:p w14:paraId="09AD7990">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（1）管理制度健全性</w:t>
      </w:r>
    </w:p>
    <w:p w14:paraId="0AE73333">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lang w:val="en-US" w:eastAsia="zh-CN"/>
        </w:rPr>
        <w:t>根据</w:t>
      </w:r>
      <w:r>
        <w:rPr>
          <w:rFonts w:hint="default" w:ascii="Times New Roman" w:hAnsi="Times New Roman" w:eastAsia="仿宋_GB2312" w:cs="Times New Roman"/>
          <w:sz w:val="32"/>
          <w:szCs w:val="32"/>
          <w:lang w:eastAsia="zh-CN"/>
        </w:rPr>
        <w:t>《新疆维吾尔自治区新一轮退耕还林工程管理办法（暂行）的通知》，本项目拥有一套完善、健全的管理制度体系，为项目的成功实施提供了坚实的制度保障。项目管理制度的制定紧密结合了项目的特点与实际情况，涵盖了项目的策划、组织、实施、监控与收尾等各个环节。</w:t>
      </w:r>
    </w:p>
    <w:p w14:paraId="70242821">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lang w:eastAsia="zh-CN"/>
        </w:rPr>
        <w:t>在制度设计上，我们注重了制度的科学性与可操作性，确保制度能够切实指导项目的执行与管理。</w:t>
      </w:r>
    </w:p>
    <w:p w14:paraId="77F5F6A3">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lang w:eastAsia="zh-CN"/>
        </w:rPr>
        <w:t>此外，项目管理制度还充分考虑了风险因素，制定了相应的风险应对措施与预案，以应对项目实施过程中可能出现的各种风险与挑战。管理制度的健全性不仅体现在制度的完善上，还体现在制度的执行与监督上。我们建立了有效的监督机制与反馈机制，对项目的实施情况进行定期检查与评估，及时发现并纠正可能存在的问题。</w:t>
      </w:r>
    </w:p>
    <w:p w14:paraId="27746931">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lang w:eastAsia="zh-CN"/>
        </w:rPr>
        <w:t>综上所述，本项目的管理制度是健全的、有效的，既符合项目的实际情况，又满足了项目管理的需要。管理制度的健全性为项目的成功实施提供了有力的保障，也为项目的绩效评价奠定了坚实的基础。</w:t>
      </w:r>
    </w:p>
    <w:p w14:paraId="34843F36">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（2）制度执行有效性</w:t>
      </w:r>
    </w:p>
    <w:p w14:paraId="3DDF4150">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lang w:eastAsia="zh-CN"/>
        </w:rPr>
        <w:t>本项目在执行过程中，管理制度得到了全面、有效的落实，为确保项目的顺利实施与目标实现提供了坚实的保障。项目</w:t>
      </w:r>
      <w:r>
        <w:rPr>
          <w:rFonts w:hint="default" w:ascii="Times New Roman" w:hAnsi="Times New Roman" w:eastAsia="仿宋_GB2312" w:cs="Times New Roman"/>
          <w:sz w:val="32"/>
          <w:szCs w:val="32"/>
          <w:lang w:val="en-US" w:eastAsia="zh-CN"/>
        </w:rPr>
        <w:t>单位</w:t>
      </w:r>
      <w:r>
        <w:rPr>
          <w:rFonts w:hint="default" w:ascii="Times New Roman" w:hAnsi="Times New Roman" w:eastAsia="仿宋_GB2312" w:cs="Times New Roman"/>
          <w:sz w:val="32"/>
          <w:szCs w:val="32"/>
          <w:lang w:eastAsia="zh-CN"/>
        </w:rPr>
        <w:t>重视制度执行的重要性，通过明确责任分工、制定详细执行计划、加强监督考核等措施，确保了各项管理制度能够得到有效执行。</w:t>
      </w:r>
    </w:p>
    <w:p w14:paraId="6E637CD2">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lang w:eastAsia="zh-CN"/>
        </w:rPr>
        <w:t>在具体执行过程中，项目团队成员严格按照制度要求进行操作。同时，我们还建立了有效的沟通机制与反馈机制，确保项目信息的及时传递与问题的及时解决，进一步提高了制度执行的效率与效果。</w:t>
      </w:r>
    </w:p>
    <w:p w14:paraId="0D448786">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eastAsia="zh-CN"/>
        </w:rPr>
        <w:t>综上所述，本项目的管理制度在执行过程中表现出了高度的有效性，既确保了项目的顺利进行，又实现了项目目标的有效达成。</w:t>
      </w:r>
    </w:p>
    <w:p w14:paraId="688CA47F">
      <w:pPr>
        <w:keepNext w:val="0"/>
        <w:keepLines w:val="0"/>
        <w:pageBreakBefore w:val="0"/>
        <w:widowControl w:val="0"/>
        <w:kinsoku/>
        <w:wordWrap w:val="0"/>
        <w:overflowPunct/>
        <w:topLinePunct/>
        <w:autoSpaceDE/>
        <w:autoSpaceDN/>
        <w:bidi w:val="0"/>
        <w:adjustRightInd/>
        <w:snapToGrid/>
        <w:spacing w:line="560" w:lineRule="exact"/>
        <w:ind w:firstLine="643" w:firstLineChars="200"/>
        <w:textAlignment w:val="auto"/>
        <w:rPr>
          <w:rFonts w:hint="default" w:ascii="Times New Roman" w:hAnsi="Times New Roman" w:eastAsia="楷体" w:cs="Times New Roman"/>
          <w:b/>
          <w:bCs/>
          <w:sz w:val="32"/>
          <w:szCs w:val="32"/>
        </w:rPr>
      </w:pPr>
      <w:r>
        <w:rPr>
          <w:rFonts w:hint="default" w:ascii="Times New Roman" w:hAnsi="Times New Roman" w:eastAsia="楷体" w:cs="Times New Roman"/>
          <w:b/>
          <w:bCs/>
          <w:sz w:val="32"/>
          <w:szCs w:val="32"/>
          <w:lang w:eastAsia="zh-CN"/>
        </w:rPr>
        <w:t>（</w:t>
      </w:r>
      <w:r>
        <w:rPr>
          <w:rFonts w:hint="eastAsia" w:ascii="Times New Roman" w:hAnsi="Times New Roman" w:eastAsia="楷体" w:cs="Times New Roman"/>
          <w:b/>
          <w:bCs/>
          <w:sz w:val="32"/>
          <w:szCs w:val="32"/>
          <w:lang w:val="en-US" w:eastAsia="zh-CN"/>
        </w:rPr>
        <w:t>三</w:t>
      </w:r>
      <w:r>
        <w:rPr>
          <w:rFonts w:hint="default" w:ascii="Times New Roman" w:hAnsi="Times New Roman" w:eastAsia="楷体" w:cs="Times New Roman"/>
          <w:b/>
          <w:bCs/>
          <w:sz w:val="32"/>
          <w:szCs w:val="32"/>
          <w:lang w:eastAsia="zh-CN"/>
        </w:rPr>
        <w:t>）</w:t>
      </w:r>
      <w:r>
        <w:rPr>
          <w:rFonts w:hint="default" w:ascii="Times New Roman" w:hAnsi="Times New Roman" w:eastAsia="楷体" w:cs="Times New Roman"/>
          <w:b/>
          <w:bCs/>
          <w:sz w:val="32"/>
          <w:szCs w:val="32"/>
        </w:rPr>
        <w:t>项目产出</w:t>
      </w:r>
      <w:r>
        <w:rPr>
          <w:rFonts w:hint="default" w:ascii="Times New Roman" w:hAnsi="Times New Roman" w:eastAsia="楷体" w:cs="Times New Roman"/>
          <w:b/>
          <w:bCs/>
          <w:sz w:val="32"/>
          <w:szCs w:val="32"/>
          <w:lang w:val="en-US" w:eastAsia="zh-CN"/>
        </w:rPr>
        <w:t>情况</w:t>
      </w:r>
    </w:p>
    <w:p w14:paraId="49E09545">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lang w:val="en-US" w:eastAsia="zh-CN"/>
        </w:rPr>
        <w:t>项目产出类指标包括产出数量、产出质量、产出时效、产出成本四方面的内容，由</w:t>
      </w:r>
      <w:r>
        <w:rPr>
          <w:rFonts w:hint="eastAsia" w:eastAsia="仿宋_GB2312" w:cs="Times New Roman"/>
          <w:sz w:val="32"/>
          <w:szCs w:val="32"/>
          <w:lang w:val="en-US" w:eastAsia="zh-CN"/>
        </w:rPr>
        <w:t>4</w:t>
      </w:r>
      <w:r>
        <w:rPr>
          <w:rFonts w:hint="default" w:ascii="Times New Roman" w:hAnsi="Times New Roman" w:eastAsia="仿宋_GB2312" w:cs="Times New Roman"/>
          <w:sz w:val="32"/>
          <w:szCs w:val="32"/>
          <w:lang w:val="en-US" w:eastAsia="zh-CN"/>
        </w:rPr>
        <w:t>个三级指标构成，权重分为40分，实际</w:t>
      </w:r>
      <w:r>
        <w:rPr>
          <w:rFonts w:hint="default" w:ascii="Times New Roman" w:hAnsi="Times New Roman" w:eastAsia="仿宋_GB2312" w:cs="Times New Roman"/>
          <w:sz w:val="32"/>
          <w:szCs w:val="32"/>
          <w:highlight w:val="none"/>
          <w:lang w:val="en-US" w:eastAsia="zh-CN"/>
        </w:rPr>
        <w:t>得分39.5分，得分率为95%。具体产出指标完成情况如下：</w:t>
      </w:r>
    </w:p>
    <w:p w14:paraId="39FC3D2F">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fldChar w:fldCharType="begin"/>
      </w:r>
      <w:r>
        <w:rPr>
          <w:rFonts w:hint="default" w:ascii="Times New Roman" w:hAnsi="Times New Roman" w:eastAsia="仿宋_GB2312" w:cs="Times New Roman"/>
          <w:sz w:val="32"/>
          <w:szCs w:val="32"/>
          <w:highlight w:val="none"/>
        </w:rPr>
        <w:instrText xml:space="preserve"> = 1 \* GB3 </w:instrText>
      </w:r>
      <w:r>
        <w:rPr>
          <w:rFonts w:hint="default" w:ascii="Times New Roman" w:hAnsi="Times New Roman" w:eastAsia="仿宋_GB2312" w:cs="Times New Roman"/>
          <w:sz w:val="32"/>
          <w:szCs w:val="32"/>
          <w:highlight w:val="none"/>
        </w:rPr>
        <w:fldChar w:fldCharType="separate"/>
      </w:r>
      <w:r>
        <w:rPr>
          <w:rFonts w:hint="default" w:ascii="Times New Roman" w:hAnsi="Times New Roman" w:eastAsia="仿宋_GB2312" w:cs="Times New Roman"/>
          <w:sz w:val="32"/>
          <w:szCs w:val="32"/>
          <w:highlight w:val="none"/>
        </w:rPr>
        <w:t>①</w:t>
      </w:r>
      <w:r>
        <w:rPr>
          <w:rFonts w:hint="default" w:ascii="Times New Roman" w:hAnsi="Times New Roman" w:eastAsia="仿宋_GB2312" w:cs="Times New Roman"/>
          <w:sz w:val="32"/>
          <w:szCs w:val="32"/>
          <w:highlight w:val="none"/>
        </w:rPr>
        <w:fldChar w:fldCharType="end"/>
      </w:r>
      <w:r>
        <w:rPr>
          <w:rFonts w:hint="default" w:ascii="Times New Roman" w:hAnsi="Times New Roman" w:eastAsia="仿宋_GB2312" w:cs="Times New Roman"/>
          <w:sz w:val="32"/>
          <w:szCs w:val="32"/>
          <w:highlight w:val="none"/>
        </w:rPr>
        <w:t>数量指标：</w:t>
      </w:r>
    </w:p>
    <w:p w14:paraId="394E4635">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rPr>
        <w:t>指标</w:t>
      </w:r>
      <w:r>
        <w:rPr>
          <w:rFonts w:hint="eastAsia" w:ascii="Times New Roman" w:hAnsi="Times New Roman" w:eastAsia="仿宋_GB2312" w:cs="Times New Roman"/>
          <w:sz w:val="32"/>
          <w:szCs w:val="32"/>
          <w:lang w:val="en-US" w:eastAsia="zh-CN"/>
        </w:rPr>
        <w:t>1</w:t>
      </w:r>
      <w:r>
        <w:rPr>
          <w:rFonts w:hint="default" w:ascii="Times New Roman" w:hAnsi="Times New Roman" w:eastAsia="仿宋_GB2312" w:cs="Times New Roman"/>
          <w:sz w:val="32"/>
          <w:szCs w:val="32"/>
        </w:rPr>
        <w:t>：新一轮退耕还林延长期补助面积</w:t>
      </w:r>
      <w:r>
        <w:rPr>
          <w:rFonts w:hint="eastAsia"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万亩</w:t>
      </w:r>
      <w:r>
        <w:rPr>
          <w:rFonts w:hint="eastAsia"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，指标值</w:t>
      </w:r>
      <w:r>
        <w:rPr>
          <w:rFonts w:hint="eastAsia"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13.63万亩，实际完成值：13.63万亩，指标完成率</w:t>
      </w:r>
      <w:r>
        <w:rPr>
          <w:rFonts w:hint="default" w:ascii="Times New Roman" w:hAnsi="Times New Roman" w:eastAsia="仿宋_GB2312" w:cs="Times New Roman"/>
          <w:sz w:val="32"/>
          <w:szCs w:val="32"/>
          <w:lang w:val="en-US" w:eastAsia="zh-CN"/>
        </w:rPr>
        <w:t>100</w:t>
      </w:r>
      <w:r>
        <w:rPr>
          <w:rFonts w:hint="default" w:ascii="Times New Roman" w:hAnsi="Times New Roman" w:eastAsia="仿宋_GB2312" w:cs="Times New Roman"/>
          <w:sz w:val="32"/>
          <w:szCs w:val="32"/>
        </w:rPr>
        <w:t>%</w:t>
      </w:r>
      <w:r>
        <w:rPr>
          <w:rFonts w:hint="default" w:ascii="Times New Roman" w:hAnsi="Times New Roman" w:eastAsia="仿宋_GB2312" w:cs="Times New Roman"/>
          <w:sz w:val="32"/>
          <w:szCs w:val="32"/>
          <w:lang w:val="en-US" w:eastAsia="zh-CN"/>
        </w:rPr>
        <w:t>.</w:t>
      </w:r>
    </w:p>
    <w:p w14:paraId="543BA648">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fldChar w:fldCharType="begin"/>
      </w:r>
      <w:r>
        <w:rPr>
          <w:rFonts w:hint="default" w:ascii="Times New Roman" w:hAnsi="Times New Roman" w:eastAsia="仿宋_GB2312" w:cs="Times New Roman"/>
          <w:sz w:val="32"/>
          <w:szCs w:val="32"/>
        </w:rPr>
        <w:instrText xml:space="preserve"> = 2 \* GB3 </w:instrText>
      </w:r>
      <w:r>
        <w:rPr>
          <w:rFonts w:hint="default" w:ascii="Times New Roman" w:hAnsi="Times New Roman" w:eastAsia="仿宋_GB2312" w:cs="Times New Roman"/>
          <w:sz w:val="32"/>
          <w:szCs w:val="32"/>
        </w:rPr>
        <w:fldChar w:fldCharType="separate"/>
      </w:r>
      <w:r>
        <w:rPr>
          <w:rFonts w:hint="default" w:ascii="Times New Roman" w:hAnsi="Times New Roman" w:eastAsia="仿宋_GB2312" w:cs="Times New Roman"/>
          <w:sz w:val="32"/>
          <w:szCs w:val="32"/>
        </w:rPr>
        <w:t>②</w:t>
      </w:r>
      <w:r>
        <w:rPr>
          <w:rFonts w:hint="default" w:ascii="Times New Roman" w:hAnsi="Times New Roman" w:eastAsia="仿宋_GB2312" w:cs="Times New Roman"/>
          <w:sz w:val="32"/>
          <w:szCs w:val="32"/>
        </w:rPr>
        <w:fldChar w:fldCharType="end"/>
      </w:r>
      <w:r>
        <w:rPr>
          <w:rFonts w:hint="default" w:ascii="Times New Roman" w:hAnsi="Times New Roman" w:eastAsia="仿宋_GB2312" w:cs="Times New Roman"/>
          <w:sz w:val="32"/>
          <w:szCs w:val="32"/>
        </w:rPr>
        <w:t>质量指标：</w:t>
      </w:r>
    </w:p>
    <w:p w14:paraId="168E566D">
      <w:pPr>
        <w:pStyle w:val="3"/>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rPr>
        <w:t>指标</w:t>
      </w:r>
      <w:r>
        <w:rPr>
          <w:rFonts w:hint="eastAsia" w:ascii="Times New Roman" w:hAnsi="Times New Roman" w:eastAsia="仿宋_GB2312" w:cs="Times New Roman"/>
          <w:sz w:val="32"/>
          <w:szCs w:val="32"/>
          <w:lang w:val="en-US" w:eastAsia="zh-CN"/>
        </w:rPr>
        <w:t>1</w:t>
      </w:r>
      <w:r>
        <w:rPr>
          <w:rFonts w:hint="default" w:ascii="Times New Roman" w:hAnsi="Times New Roman" w:eastAsia="仿宋_GB2312" w:cs="Times New Roman"/>
          <w:sz w:val="32"/>
          <w:szCs w:val="32"/>
        </w:rPr>
        <w:t>：</w:t>
      </w:r>
      <w:r>
        <w:rPr>
          <w:rFonts w:hint="default" w:ascii="Times New Roman" w:hAnsi="Times New Roman" w:eastAsia="仿宋_GB2312" w:cs="Times New Roman"/>
          <w:sz w:val="32"/>
          <w:szCs w:val="32"/>
          <w:lang w:val="en-US" w:eastAsia="zh-CN"/>
        </w:rPr>
        <w:t>退耕还林验收合格率</w:t>
      </w:r>
      <w:r>
        <w:rPr>
          <w:rFonts w:hint="default" w:ascii="Times New Roman" w:hAnsi="Times New Roman" w:eastAsia="仿宋_GB2312" w:cs="Times New Roman"/>
          <w:sz w:val="32"/>
          <w:szCs w:val="32"/>
        </w:rPr>
        <w:t>，指标值：</w:t>
      </w:r>
      <w:r>
        <w:rPr>
          <w:rFonts w:hint="default" w:ascii="Arial" w:hAnsi="Arial" w:eastAsia="仿宋_GB2312" w:cs="Arial"/>
          <w:sz w:val="32"/>
          <w:szCs w:val="32"/>
          <w:lang w:val="en-US" w:eastAsia="zh-CN"/>
        </w:rPr>
        <w:t>≥</w:t>
      </w:r>
      <w:r>
        <w:rPr>
          <w:rFonts w:hint="default" w:ascii="Times New Roman" w:hAnsi="Times New Roman" w:eastAsia="仿宋_GB2312" w:cs="Times New Roman"/>
          <w:sz w:val="32"/>
          <w:szCs w:val="32"/>
          <w:lang w:val="en-US" w:eastAsia="zh-CN"/>
        </w:rPr>
        <w:t>65%</w:t>
      </w:r>
      <w:r>
        <w:rPr>
          <w:rFonts w:hint="default" w:ascii="Times New Roman" w:hAnsi="Times New Roman" w:eastAsia="仿宋_GB2312" w:cs="Times New Roman"/>
          <w:sz w:val="32"/>
          <w:szCs w:val="32"/>
        </w:rPr>
        <w:t>，实际完成值：</w:t>
      </w:r>
      <w:r>
        <w:rPr>
          <w:rFonts w:hint="default" w:ascii="Times New Roman" w:hAnsi="Times New Roman" w:eastAsia="仿宋_GB2312" w:cs="Times New Roman"/>
          <w:sz w:val="32"/>
          <w:szCs w:val="32"/>
          <w:lang w:val="en-US" w:eastAsia="zh-CN"/>
        </w:rPr>
        <w:t>65%</w:t>
      </w:r>
      <w:r>
        <w:rPr>
          <w:rFonts w:hint="default" w:ascii="Times New Roman" w:hAnsi="Times New Roman" w:eastAsia="仿宋_GB2312" w:cs="Times New Roman"/>
          <w:sz w:val="32"/>
          <w:szCs w:val="32"/>
        </w:rPr>
        <w:t>，指标完成率</w:t>
      </w:r>
      <w:r>
        <w:rPr>
          <w:rFonts w:hint="default" w:ascii="Times New Roman" w:hAnsi="Times New Roman" w:eastAsia="仿宋_GB2312" w:cs="Times New Roman"/>
          <w:sz w:val="32"/>
          <w:szCs w:val="32"/>
          <w:lang w:val="en-US" w:eastAsia="zh-CN"/>
        </w:rPr>
        <w:t>100</w:t>
      </w:r>
      <w:r>
        <w:rPr>
          <w:rFonts w:hint="default" w:ascii="Times New Roman" w:hAnsi="Times New Roman" w:eastAsia="仿宋_GB2312" w:cs="Times New Roman"/>
          <w:sz w:val="32"/>
          <w:szCs w:val="32"/>
        </w:rPr>
        <w:t>%</w:t>
      </w:r>
      <w:r>
        <w:rPr>
          <w:rFonts w:hint="default" w:ascii="Times New Roman" w:hAnsi="Times New Roman" w:eastAsia="仿宋_GB2312" w:cs="Times New Roman"/>
          <w:sz w:val="32"/>
          <w:szCs w:val="32"/>
          <w:lang w:val="en-US" w:eastAsia="zh-CN"/>
        </w:rPr>
        <w:t>.</w:t>
      </w:r>
    </w:p>
    <w:p w14:paraId="1822ABDD">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fldChar w:fldCharType="begin"/>
      </w:r>
      <w:r>
        <w:rPr>
          <w:rFonts w:hint="default" w:ascii="Times New Roman" w:hAnsi="Times New Roman" w:eastAsia="仿宋_GB2312" w:cs="Times New Roman"/>
          <w:sz w:val="32"/>
          <w:szCs w:val="32"/>
        </w:rPr>
        <w:instrText xml:space="preserve"> = 3 \* GB3 </w:instrText>
      </w:r>
      <w:r>
        <w:rPr>
          <w:rFonts w:hint="default" w:ascii="Times New Roman" w:hAnsi="Times New Roman" w:eastAsia="仿宋_GB2312" w:cs="Times New Roman"/>
          <w:sz w:val="32"/>
          <w:szCs w:val="32"/>
        </w:rPr>
        <w:fldChar w:fldCharType="separate"/>
      </w:r>
      <w:r>
        <w:rPr>
          <w:rFonts w:hint="default" w:ascii="Times New Roman" w:hAnsi="Times New Roman" w:eastAsia="仿宋_GB2312" w:cs="Times New Roman"/>
          <w:sz w:val="32"/>
          <w:szCs w:val="32"/>
        </w:rPr>
        <w:t>③</w:t>
      </w:r>
      <w:r>
        <w:rPr>
          <w:rFonts w:hint="default" w:ascii="Times New Roman" w:hAnsi="Times New Roman" w:eastAsia="仿宋_GB2312" w:cs="Times New Roman"/>
          <w:sz w:val="32"/>
          <w:szCs w:val="32"/>
        </w:rPr>
        <w:fldChar w:fldCharType="end"/>
      </w:r>
      <w:r>
        <w:rPr>
          <w:rFonts w:hint="default" w:ascii="Times New Roman" w:hAnsi="Times New Roman" w:eastAsia="仿宋_GB2312" w:cs="Times New Roman"/>
          <w:sz w:val="32"/>
          <w:szCs w:val="32"/>
        </w:rPr>
        <w:t>时效指标：</w:t>
      </w:r>
    </w:p>
    <w:p w14:paraId="161BA08A">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rPr>
        <w:t>指标</w:t>
      </w:r>
      <w:r>
        <w:rPr>
          <w:rFonts w:hint="eastAsia" w:ascii="Times New Roman" w:hAnsi="Times New Roman" w:eastAsia="仿宋_GB2312" w:cs="Times New Roman"/>
          <w:sz w:val="32"/>
          <w:szCs w:val="32"/>
          <w:lang w:val="en-US" w:eastAsia="zh-CN"/>
        </w:rPr>
        <w:t>1</w:t>
      </w:r>
      <w:r>
        <w:rPr>
          <w:rFonts w:hint="default" w:ascii="Times New Roman" w:hAnsi="Times New Roman" w:eastAsia="仿宋_GB2312" w:cs="Times New Roman"/>
          <w:sz w:val="32"/>
          <w:szCs w:val="32"/>
        </w:rPr>
        <w:t>：</w:t>
      </w:r>
      <w:r>
        <w:rPr>
          <w:rFonts w:hint="default" w:ascii="Times New Roman" w:hAnsi="Times New Roman" w:eastAsia="仿宋_GB2312" w:cs="Times New Roman"/>
          <w:sz w:val="32"/>
          <w:szCs w:val="32"/>
          <w:lang w:val="en-US" w:eastAsia="zh-CN"/>
        </w:rPr>
        <w:t>退耕还林补助兑现率</w:t>
      </w:r>
      <w:r>
        <w:rPr>
          <w:rFonts w:hint="default" w:ascii="Times New Roman" w:hAnsi="Times New Roman" w:eastAsia="仿宋_GB2312" w:cs="Times New Roman"/>
          <w:sz w:val="32"/>
          <w:szCs w:val="32"/>
        </w:rPr>
        <w:t>，指标值：</w:t>
      </w:r>
      <w:r>
        <w:rPr>
          <w:rFonts w:hint="eastAsia" w:eastAsia="仿宋_GB2312" w:cs="Times New Roman"/>
          <w:sz w:val="32"/>
          <w:szCs w:val="32"/>
          <w:lang w:val="en-US" w:eastAsia="zh-CN"/>
        </w:rPr>
        <w:t>=</w:t>
      </w:r>
      <w:r>
        <w:rPr>
          <w:rFonts w:hint="default" w:ascii="Times New Roman" w:hAnsi="Times New Roman" w:eastAsia="仿宋_GB2312" w:cs="Times New Roman"/>
          <w:sz w:val="32"/>
          <w:szCs w:val="32"/>
          <w:lang w:val="en-US" w:eastAsia="zh-CN"/>
        </w:rPr>
        <w:t>100%</w:t>
      </w:r>
      <w:r>
        <w:rPr>
          <w:rFonts w:hint="default" w:ascii="Times New Roman" w:hAnsi="Times New Roman" w:eastAsia="仿宋_GB2312" w:cs="Times New Roman"/>
          <w:sz w:val="32"/>
          <w:szCs w:val="32"/>
        </w:rPr>
        <w:t>，实际完成值：</w:t>
      </w:r>
      <w:r>
        <w:rPr>
          <w:rFonts w:hint="default" w:ascii="Times New Roman" w:hAnsi="Times New Roman" w:eastAsia="仿宋_GB2312" w:cs="Times New Roman"/>
          <w:sz w:val="32"/>
          <w:szCs w:val="32"/>
          <w:lang w:val="en-US" w:eastAsia="zh-CN"/>
        </w:rPr>
        <w:t>95%</w:t>
      </w:r>
      <w:r>
        <w:rPr>
          <w:rFonts w:hint="default" w:ascii="Times New Roman" w:hAnsi="Times New Roman" w:eastAsia="仿宋_GB2312" w:cs="Times New Roman"/>
          <w:sz w:val="32"/>
          <w:szCs w:val="32"/>
        </w:rPr>
        <w:t>，指标完成率</w:t>
      </w:r>
      <w:r>
        <w:rPr>
          <w:rFonts w:hint="default" w:ascii="Times New Roman" w:hAnsi="Times New Roman" w:eastAsia="仿宋_GB2312" w:cs="Times New Roman"/>
          <w:sz w:val="32"/>
          <w:szCs w:val="32"/>
          <w:lang w:val="en-US" w:eastAsia="zh-CN"/>
        </w:rPr>
        <w:t>95</w:t>
      </w:r>
      <w:r>
        <w:rPr>
          <w:rFonts w:hint="default" w:ascii="Times New Roman" w:hAnsi="Times New Roman" w:eastAsia="仿宋_GB2312" w:cs="Times New Roman"/>
          <w:sz w:val="32"/>
          <w:szCs w:val="32"/>
        </w:rPr>
        <w:t>%</w:t>
      </w:r>
      <w:r>
        <w:rPr>
          <w:rFonts w:hint="default" w:ascii="Times New Roman" w:hAnsi="Times New Roman" w:eastAsia="仿宋_GB2312" w:cs="Times New Roman"/>
          <w:sz w:val="32"/>
          <w:szCs w:val="32"/>
          <w:lang w:eastAsia="zh-CN"/>
        </w:rPr>
        <w:t>。</w:t>
      </w:r>
    </w:p>
    <w:p w14:paraId="51B232AB">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fldChar w:fldCharType="begin"/>
      </w:r>
      <w:r>
        <w:rPr>
          <w:rFonts w:hint="default" w:ascii="Times New Roman" w:hAnsi="Times New Roman" w:eastAsia="仿宋_GB2312" w:cs="Times New Roman"/>
          <w:sz w:val="32"/>
          <w:szCs w:val="32"/>
          <w:highlight w:val="none"/>
        </w:rPr>
        <w:instrText xml:space="preserve"> = 4 \* GB3 </w:instrText>
      </w:r>
      <w:r>
        <w:rPr>
          <w:rFonts w:hint="default" w:ascii="Times New Roman" w:hAnsi="Times New Roman" w:eastAsia="仿宋_GB2312" w:cs="Times New Roman"/>
          <w:sz w:val="32"/>
          <w:szCs w:val="32"/>
          <w:highlight w:val="none"/>
        </w:rPr>
        <w:fldChar w:fldCharType="separate"/>
      </w:r>
      <w:r>
        <w:rPr>
          <w:rFonts w:hint="default" w:ascii="Times New Roman" w:hAnsi="Times New Roman" w:eastAsia="仿宋_GB2312" w:cs="Times New Roman"/>
          <w:sz w:val="32"/>
          <w:szCs w:val="32"/>
          <w:highlight w:val="none"/>
        </w:rPr>
        <w:t>④</w:t>
      </w:r>
      <w:r>
        <w:rPr>
          <w:rFonts w:hint="default" w:ascii="Times New Roman" w:hAnsi="Times New Roman" w:eastAsia="仿宋_GB2312" w:cs="Times New Roman"/>
          <w:sz w:val="32"/>
          <w:szCs w:val="32"/>
          <w:highlight w:val="none"/>
        </w:rPr>
        <w:fldChar w:fldCharType="end"/>
      </w:r>
      <w:r>
        <w:rPr>
          <w:rFonts w:hint="default" w:ascii="Times New Roman" w:hAnsi="Times New Roman" w:eastAsia="仿宋_GB2312" w:cs="Times New Roman"/>
          <w:sz w:val="32"/>
          <w:szCs w:val="32"/>
          <w:highlight w:val="none"/>
        </w:rPr>
        <w:t>成本指标：</w:t>
      </w:r>
    </w:p>
    <w:p w14:paraId="59000EB3">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rPr>
        <w:t>指标</w:t>
      </w:r>
      <w:r>
        <w:rPr>
          <w:rFonts w:hint="eastAsia" w:ascii="Times New Roman" w:hAnsi="Times New Roman" w:eastAsia="仿宋_GB2312" w:cs="Times New Roman"/>
          <w:sz w:val="32"/>
          <w:szCs w:val="32"/>
          <w:lang w:val="en-US" w:eastAsia="zh-CN"/>
        </w:rPr>
        <w:t>1</w:t>
      </w:r>
      <w:r>
        <w:rPr>
          <w:rFonts w:hint="default" w:ascii="Times New Roman" w:hAnsi="Times New Roman" w:eastAsia="仿宋_GB2312" w:cs="Times New Roman"/>
          <w:sz w:val="32"/>
          <w:szCs w:val="32"/>
        </w:rPr>
        <w:t>：</w:t>
      </w:r>
      <w:r>
        <w:rPr>
          <w:rFonts w:hint="default" w:ascii="Times New Roman" w:hAnsi="Times New Roman" w:eastAsia="仿宋_GB2312" w:cs="Times New Roman"/>
          <w:sz w:val="32"/>
          <w:szCs w:val="32"/>
          <w:lang w:val="en-US" w:eastAsia="zh-CN"/>
        </w:rPr>
        <w:t>新一轮退耕还林延长期补助标准（元/亩）</w:t>
      </w:r>
      <w:r>
        <w:rPr>
          <w:rFonts w:hint="default" w:ascii="Times New Roman" w:hAnsi="Times New Roman" w:eastAsia="仿宋_GB2312" w:cs="Times New Roman"/>
          <w:sz w:val="32"/>
          <w:szCs w:val="32"/>
        </w:rPr>
        <w:t>，指标值：</w:t>
      </w:r>
      <w:r>
        <w:rPr>
          <w:rFonts w:hint="default" w:ascii="Times New Roman" w:hAnsi="Times New Roman" w:eastAsia="仿宋_GB2312" w:cs="Times New Roman"/>
          <w:sz w:val="32"/>
          <w:szCs w:val="32"/>
          <w:lang w:val="en-US" w:eastAsia="zh-CN"/>
        </w:rPr>
        <w:t>=100元/亩</w:t>
      </w:r>
      <w:r>
        <w:rPr>
          <w:rFonts w:hint="default" w:ascii="Times New Roman" w:hAnsi="Times New Roman" w:eastAsia="仿宋_GB2312" w:cs="Times New Roman"/>
          <w:sz w:val="32"/>
          <w:szCs w:val="32"/>
        </w:rPr>
        <w:t>，实际完成值：</w:t>
      </w:r>
      <w:r>
        <w:rPr>
          <w:rFonts w:hint="eastAsia" w:eastAsia="仿宋_GB2312" w:cs="Times New Roman"/>
          <w:sz w:val="32"/>
          <w:szCs w:val="32"/>
          <w:lang w:val="en-US" w:eastAsia="zh-CN"/>
        </w:rPr>
        <w:t>＝</w:t>
      </w:r>
      <w:r>
        <w:rPr>
          <w:rFonts w:hint="default" w:ascii="Times New Roman" w:hAnsi="Times New Roman" w:eastAsia="仿宋_GB2312" w:cs="Times New Roman"/>
          <w:sz w:val="32"/>
          <w:szCs w:val="32"/>
          <w:lang w:val="en-US" w:eastAsia="zh-CN"/>
        </w:rPr>
        <w:t>100元/亩</w:t>
      </w:r>
      <w:r>
        <w:rPr>
          <w:rFonts w:hint="default" w:ascii="Times New Roman" w:hAnsi="Times New Roman" w:eastAsia="仿宋_GB2312" w:cs="Times New Roman"/>
          <w:sz w:val="32"/>
          <w:szCs w:val="32"/>
        </w:rPr>
        <w:t>，指标完成率</w:t>
      </w:r>
      <w:r>
        <w:rPr>
          <w:rFonts w:hint="eastAsia" w:eastAsia="仿宋_GB2312" w:cs="Times New Roman"/>
          <w:sz w:val="32"/>
          <w:szCs w:val="32"/>
          <w:lang w:val="en-US" w:eastAsia="zh-CN"/>
        </w:rPr>
        <w:t>100</w:t>
      </w:r>
      <w:r>
        <w:rPr>
          <w:rFonts w:hint="default" w:ascii="Times New Roman" w:hAnsi="Times New Roman" w:eastAsia="仿宋_GB2312" w:cs="Times New Roman"/>
          <w:sz w:val="32"/>
          <w:szCs w:val="32"/>
        </w:rPr>
        <w:t>%</w:t>
      </w:r>
      <w:r>
        <w:rPr>
          <w:rFonts w:hint="default" w:ascii="Times New Roman" w:hAnsi="Times New Roman" w:eastAsia="仿宋_GB2312" w:cs="Times New Roman"/>
          <w:sz w:val="32"/>
          <w:szCs w:val="32"/>
          <w:lang w:eastAsia="zh-CN"/>
        </w:rPr>
        <w:t>。</w:t>
      </w:r>
    </w:p>
    <w:p w14:paraId="7617B71A">
      <w:pPr>
        <w:keepNext w:val="0"/>
        <w:keepLines w:val="0"/>
        <w:pageBreakBefore w:val="0"/>
        <w:widowControl w:val="0"/>
        <w:kinsoku/>
        <w:wordWrap w:val="0"/>
        <w:overflowPunct/>
        <w:topLinePunct/>
        <w:autoSpaceDE/>
        <w:autoSpaceDN/>
        <w:bidi w:val="0"/>
        <w:adjustRightInd/>
        <w:snapToGrid/>
        <w:spacing w:line="560" w:lineRule="exact"/>
        <w:ind w:firstLine="643" w:firstLineChars="200"/>
        <w:textAlignment w:val="auto"/>
        <w:rPr>
          <w:rFonts w:hint="eastAsia" w:ascii="楷体" w:hAnsi="楷体" w:eastAsia="楷体" w:cs="楷体"/>
          <w:b/>
          <w:bCs/>
          <w:sz w:val="32"/>
          <w:szCs w:val="32"/>
          <w:lang w:val="en-US" w:eastAsia="zh-CN"/>
        </w:rPr>
      </w:pPr>
      <w:r>
        <w:rPr>
          <w:rFonts w:hint="eastAsia" w:ascii="楷体" w:hAnsi="楷体" w:eastAsia="楷体" w:cs="楷体"/>
          <w:b/>
          <w:bCs/>
          <w:sz w:val="32"/>
          <w:szCs w:val="32"/>
          <w:lang w:val="en-US" w:eastAsia="zh-CN"/>
        </w:rPr>
        <w:t>（四）项目效益情况</w:t>
      </w:r>
    </w:p>
    <w:p w14:paraId="08C167AA">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项目效益类指标包括项目实施效益和满意度两方面的内容，由3个三级指标构成，权重分为20分，实际得分20分，得分率为100%。具体效益指标及满意度指标完成情况如下：</w:t>
      </w:r>
    </w:p>
    <w:p w14:paraId="34D2C438">
      <w:pPr>
        <w:keepNext w:val="0"/>
        <w:keepLines w:val="0"/>
        <w:pageBreakBefore w:val="0"/>
        <w:widowControl w:val="0"/>
        <w:kinsoku/>
        <w:wordWrap w:val="0"/>
        <w:overflowPunct/>
        <w:topLinePunct/>
        <w:autoSpaceDE/>
        <w:autoSpaceDN/>
        <w:bidi w:val="0"/>
        <w:adjustRightInd/>
        <w:snapToGrid/>
        <w:spacing w:line="560" w:lineRule="exact"/>
        <w:ind w:firstLine="643" w:firstLineChars="200"/>
        <w:textAlignment w:val="auto"/>
        <w:rPr>
          <w:rFonts w:hint="default" w:ascii="Times New Roman" w:hAnsi="Times New Roman" w:eastAsia="仿宋_GB2312" w:cs="Times New Roman"/>
          <w:b/>
          <w:bCs/>
          <w:sz w:val="32"/>
          <w:szCs w:val="32"/>
        </w:rPr>
      </w:pPr>
      <w:r>
        <w:rPr>
          <w:rFonts w:hint="eastAsia" w:ascii="Times New Roman" w:hAnsi="Times New Roman" w:eastAsia="仿宋_GB2312" w:cs="Times New Roman"/>
          <w:b/>
          <w:bCs/>
          <w:sz w:val="32"/>
          <w:szCs w:val="32"/>
          <w:lang w:val="en-US" w:eastAsia="zh-CN"/>
        </w:rPr>
        <w:t>1.</w:t>
      </w:r>
      <w:r>
        <w:rPr>
          <w:rFonts w:hint="default" w:ascii="Times New Roman" w:hAnsi="Times New Roman" w:eastAsia="仿宋_GB2312" w:cs="Times New Roman"/>
          <w:b/>
          <w:bCs/>
          <w:sz w:val="32"/>
          <w:szCs w:val="32"/>
          <w:lang w:val="en-US" w:eastAsia="zh-CN"/>
        </w:rPr>
        <w:t>实施效益</w:t>
      </w:r>
    </w:p>
    <w:p w14:paraId="1A17E26E">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en-US" w:eastAsia="zh-CN"/>
        </w:rPr>
        <w:t>①</w:t>
      </w:r>
      <w:r>
        <w:rPr>
          <w:rFonts w:hint="default" w:ascii="Times New Roman" w:hAnsi="Times New Roman" w:eastAsia="仿宋_GB2312" w:cs="Times New Roman"/>
          <w:sz w:val="32"/>
          <w:szCs w:val="32"/>
        </w:rPr>
        <w:t>经济效益指标：</w:t>
      </w:r>
    </w:p>
    <w:p w14:paraId="3C046BED">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指标1：</w:t>
      </w:r>
      <w:r>
        <w:rPr>
          <w:rFonts w:hint="default" w:ascii="Times New Roman" w:hAnsi="Times New Roman" w:eastAsia="仿宋_GB2312" w:cs="Times New Roman"/>
          <w:sz w:val="32"/>
          <w:szCs w:val="32"/>
          <w:lang w:val="en-US" w:eastAsia="zh-CN"/>
        </w:rPr>
        <w:t>民生状况，</w:t>
      </w:r>
      <w:r>
        <w:rPr>
          <w:rFonts w:hint="default" w:ascii="Times New Roman" w:hAnsi="Times New Roman" w:eastAsia="仿宋_GB2312" w:cs="Times New Roman"/>
          <w:sz w:val="32"/>
          <w:szCs w:val="32"/>
        </w:rPr>
        <w:t>指标值：</w:t>
      </w:r>
      <w:r>
        <w:rPr>
          <w:rFonts w:hint="default" w:ascii="Times New Roman" w:hAnsi="Times New Roman" w:eastAsia="仿宋_GB2312" w:cs="Times New Roman"/>
          <w:sz w:val="32"/>
          <w:szCs w:val="32"/>
          <w:lang w:val="en-US" w:eastAsia="zh-CN"/>
        </w:rPr>
        <w:t>逐步改善</w:t>
      </w:r>
      <w:r>
        <w:rPr>
          <w:rFonts w:hint="eastAsia" w:ascii="Times New Roman" w:hAnsi="Times New Roman" w:eastAsia="仿宋_GB2312" w:cs="Times New Roman"/>
          <w:sz w:val="32"/>
          <w:szCs w:val="32"/>
          <w:lang w:val="en-US" w:eastAsia="zh-CN"/>
        </w:rPr>
        <w:t>，</w:t>
      </w:r>
      <w:r>
        <w:rPr>
          <w:rFonts w:hint="default" w:ascii="Times New Roman" w:hAnsi="Times New Roman" w:eastAsia="仿宋_GB2312" w:cs="Times New Roman"/>
          <w:sz w:val="32"/>
          <w:szCs w:val="32"/>
        </w:rPr>
        <w:t>实际完成值：</w:t>
      </w:r>
      <w:r>
        <w:rPr>
          <w:rFonts w:hint="eastAsia" w:eastAsia="仿宋_GB2312" w:cs="Times New Roman"/>
          <w:sz w:val="32"/>
          <w:szCs w:val="32"/>
          <w:lang w:val="en-US" w:eastAsia="zh-CN"/>
        </w:rPr>
        <w:t>逐步改善</w:t>
      </w:r>
      <w:r>
        <w:rPr>
          <w:rFonts w:hint="default" w:ascii="Times New Roman" w:hAnsi="Times New Roman" w:eastAsia="仿宋_GB2312" w:cs="Times New Roman"/>
          <w:sz w:val="32"/>
          <w:szCs w:val="32"/>
        </w:rPr>
        <w:t>，指标完成率</w:t>
      </w:r>
      <w:r>
        <w:rPr>
          <w:rFonts w:hint="default" w:ascii="Times New Roman" w:hAnsi="Times New Roman" w:eastAsia="仿宋_GB2312" w:cs="Times New Roman"/>
          <w:sz w:val="32"/>
          <w:szCs w:val="32"/>
          <w:lang w:val="en-US" w:eastAsia="zh-CN"/>
        </w:rPr>
        <w:t>100</w:t>
      </w:r>
      <w:r>
        <w:rPr>
          <w:rFonts w:hint="default" w:ascii="Times New Roman" w:hAnsi="Times New Roman" w:eastAsia="仿宋_GB2312" w:cs="Times New Roman"/>
          <w:sz w:val="32"/>
          <w:szCs w:val="32"/>
        </w:rPr>
        <w:t>%</w:t>
      </w:r>
      <w:r>
        <w:rPr>
          <w:rFonts w:hint="default" w:ascii="Times New Roman" w:hAnsi="Times New Roman" w:eastAsia="仿宋_GB2312" w:cs="Times New Roman"/>
          <w:sz w:val="32"/>
          <w:szCs w:val="32"/>
          <w:lang w:val="en-US" w:eastAsia="zh-CN"/>
        </w:rPr>
        <w:t>。</w:t>
      </w:r>
    </w:p>
    <w:p w14:paraId="7F0E9E7F">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highlight w:val="none"/>
          <w:lang w:val="en-US" w:eastAsia="zh-CN"/>
        </w:rPr>
        <w:t>②</w:t>
      </w:r>
      <w:r>
        <w:rPr>
          <w:rFonts w:hint="default" w:ascii="Times New Roman" w:hAnsi="Times New Roman" w:eastAsia="仿宋_GB2312" w:cs="Times New Roman"/>
          <w:sz w:val="32"/>
          <w:szCs w:val="32"/>
          <w:highlight w:val="none"/>
        </w:rPr>
        <w:t>社会效益指标：</w:t>
      </w:r>
    </w:p>
    <w:p w14:paraId="06A31FAF">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val="en-US" w:eastAsia="zh-CN"/>
        </w:rPr>
      </w:pPr>
      <w:r>
        <w:rPr>
          <w:rFonts w:hint="eastAsia" w:eastAsia="仿宋_GB2312" w:cs="Times New Roman"/>
          <w:sz w:val="32"/>
          <w:szCs w:val="32"/>
          <w:highlight w:val="none"/>
          <w:lang w:val="en-US" w:eastAsia="zh-CN"/>
        </w:rPr>
        <w:t>2024年本项目未设置</w:t>
      </w:r>
      <w:r>
        <w:rPr>
          <w:rFonts w:hint="default" w:eastAsia="仿宋_GB2312" w:cs="Times New Roman"/>
          <w:sz w:val="32"/>
          <w:szCs w:val="32"/>
          <w:highlight w:val="none"/>
          <w:lang w:val="en-US" w:eastAsia="zh-CN"/>
        </w:rPr>
        <w:t>社会效益指标</w:t>
      </w:r>
    </w:p>
    <w:p w14:paraId="746DFE1D">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③生态效益指标：</w:t>
      </w:r>
    </w:p>
    <w:p w14:paraId="2FFB7B77">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指标1：持续发挥</w:t>
      </w:r>
      <w:r>
        <w:rPr>
          <w:rFonts w:hint="default" w:ascii="Times New Roman" w:hAnsi="Times New Roman" w:eastAsia="仿宋_GB2312" w:cs="Times New Roman"/>
          <w:sz w:val="32"/>
          <w:szCs w:val="32"/>
          <w:lang w:val="en-US" w:eastAsia="zh-CN"/>
        </w:rPr>
        <w:t>生态效益，</w:t>
      </w:r>
      <w:r>
        <w:rPr>
          <w:rFonts w:hint="default" w:ascii="Times New Roman" w:hAnsi="Times New Roman" w:eastAsia="仿宋_GB2312" w:cs="Times New Roman"/>
          <w:sz w:val="32"/>
          <w:szCs w:val="32"/>
        </w:rPr>
        <w:t>指标值：</w:t>
      </w:r>
      <w:r>
        <w:rPr>
          <w:rFonts w:hint="default" w:ascii="Times New Roman" w:hAnsi="Times New Roman" w:eastAsia="仿宋_GB2312" w:cs="Times New Roman"/>
          <w:sz w:val="32"/>
          <w:szCs w:val="32"/>
          <w:lang w:val="en-US" w:eastAsia="zh-CN"/>
        </w:rPr>
        <w:t>显著</w:t>
      </w:r>
      <w:r>
        <w:rPr>
          <w:rFonts w:hint="eastAsia" w:eastAsia="仿宋_GB2312" w:cs="Times New Roman"/>
          <w:sz w:val="32"/>
          <w:szCs w:val="32"/>
          <w:lang w:val="en-US" w:eastAsia="zh-CN"/>
        </w:rPr>
        <w:t>，</w:t>
      </w:r>
      <w:r>
        <w:rPr>
          <w:rFonts w:hint="default" w:ascii="Times New Roman" w:hAnsi="Times New Roman" w:eastAsia="仿宋_GB2312" w:cs="Times New Roman"/>
          <w:sz w:val="32"/>
          <w:szCs w:val="32"/>
        </w:rPr>
        <w:t>实际完成值：</w:t>
      </w:r>
      <w:r>
        <w:rPr>
          <w:rFonts w:hint="eastAsia" w:eastAsia="仿宋_GB2312" w:cs="Times New Roman"/>
          <w:sz w:val="32"/>
          <w:szCs w:val="32"/>
          <w:lang w:val="en-US" w:eastAsia="zh-CN"/>
        </w:rPr>
        <w:t>显著</w:t>
      </w:r>
      <w:r>
        <w:rPr>
          <w:rFonts w:hint="default" w:ascii="Times New Roman" w:hAnsi="Times New Roman" w:eastAsia="仿宋_GB2312" w:cs="Times New Roman"/>
          <w:sz w:val="32"/>
          <w:szCs w:val="32"/>
        </w:rPr>
        <w:t>，指标完成率</w:t>
      </w:r>
      <w:r>
        <w:rPr>
          <w:rFonts w:hint="default" w:ascii="Times New Roman" w:hAnsi="Times New Roman" w:eastAsia="仿宋_GB2312" w:cs="Times New Roman"/>
          <w:sz w:val="32"/>
          <w:szCs w:val="32"/>
          <w:lang w:val="en-US" w:eastAsia="zh-CN"/>
        </w:rPr>
        <w:t>100</w:t>
      </w:r>
      <w:r>
        <w:rPr>
          <w:rFonts w:hint="default" w:ascii="Times New Roman" w:hAnsi="Times New Roman" w:eastAsia="仿宋_GB2312" w:cs="Times New Roman"/>
          <w:sz w:val="32"/>
          <w:szCs w:val="32"/>
        </w:rPr>
        <w:t>%</w:t>
      </w:r>
      <w:r>
        <w:rPr>
          <w:rFonts w:hint="eastAsia" w:ascii="Times New Roman" w:hAnsi="Times New Roman" w:eastAsia="仿宋_GB2312" w:cs="Times New Roman"/>
          <w:sz w:val="32"/>
          <w:szCs w:val="32"/>
          <w:lang w:eastAsia="zh-CN"/>
        </w:rPr>
        <w:t>。</w:t>
      </w:r>
    </w:p>
    <w:p w14:paraId="027094A2">
      <w:pPr>
        <w:keepNext w:val="0"/>
        <w:keepLines w:val="0"/>
        <w:pageBreakBefore w:val="0"/>
        <w:widowControl w:val="0"/>
        <w:numPr>
          <w:ilvl w:val="0"/>
          <w:numId w:val="0"/>
        </w:numPr>
        <w:kinsoku/>
        <w:wordWrap w:val="0"/>
        <w:overflowPunct/>
        <w:topLinePunct/>
        <w:autoSpaceDE/>
        <w:autoSpaceDN/>
        <w:bidi w:val="0"/>
        <w:adjustRightInd/>
        <w:snapToGrid/>
        <w:spacing w:line="560" w:lineRule="exact"/>
        <w:ind w:firstLine="643" w:firstLineChars="200"/>
        <w:textAlignment w:val="auto"/>
        <w:rPr>
          <w:rFonts w:hint="eastAsia" w:ascii="Times New Roman" w:hAnsi="Times New Roman" w:eastAsia="仿宋_GB2312" w:cs="Times New Roman"/>
          <w:b/>
          <w:bCs/>
          <w:sz w:val="32"/>
          <w:szCs w:val="32"/>
          <w:lang w:val="en-US" w:eastAsia="zh-CN"/>
        </w:rPr>
      </w:pPr>
      <w:r>
        <w:rPr>
          <w:rFonts w:hint="eastAsia" w:ascii="Times New Roman" w:hAnsi="Times New Roman" w:eastAsia="仿宋_GB2312" w:cs="Times New Roman"/>
          <w:b/>
          <w:bCs/>
          <w:sz w:val="32"/>
          <w:szCs w:val="32"/>
          <w:lang w:val="en-US" w:eastAsia="zh-CN"/>
        </w:rPr>
        <w:t>2.满意度</w:t>
      </w:r>
    </w:p>
    <w:p w14:paraId="3234547F">
      <w:pPr>
        <w:keepNext w:val="0"/>
        <w:keepLines w:val="0"/>
        <w:pageBreakBefore w:val="0"/>
        <w:widowControl w:val="0"/>
        <w:numPr>
          <w:ilvl w:val="0"/>
          <w:numId w:val="0"/>
        </w:numPr>
        <w:kinsoku/>
        <w:wordWrap w:val="0"/>
        <w:overflowPunct/>
        <w:topLinePunct/>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指标1：</w:t>
      </w:r>
      <w:r>
        <w:rPr>
          <w:rFonts w:hint="default" w:ascii="Times New Roman" w:hAnsi="Times New Roman" w:eastAsia="仿宋_GB2312" w:cs="Times New Roman"/>
          <w:sz w:val="32"/>
          <w:szCs w:val="32"/>
          <w:lang w:val="en-US" w:eastAsia="zh-CN"/>
        </w:rPr>
        <w:t>退耕户满意度：</w:t>
      </w:r>
      <w:r>
        <w:rPr>
          <w:rFonts w:hint="default" w:ascii="Times New Roman" w:hAnsi="Times New Roman" w:eastAsia="仿宋_GB2312" w:cs="Times New Roman"/>
          <w:sz w:val="32"/>
          <w:szCs w:val="32"/>
        </w:rPr>
        <w:t>指标值：</w:t>
      </w:r>
      <w:r>
        <w:rPr>
          <w:rFonts w:hint="eastAsia" w:eastAsia="仿宋_GB2312" w:cs="Times New Roman"/>
          <w:sz w:val="32"/>
          <w:szCs w:val="32"/>
          <w:lang w:val="en-US" w:eastAsia="zh-CN"/>
        </w:rPr>
        <w:t>≥</w:t>
      </w:r>
      <w:r>
        <w:rPr>
          <w:rFonts w:hint="default" w:ascii="Times New Roman" w:hAnsi="Times New Roman" w:eastAsia="仿宋_GB2312" w:cs="Times New Roman"/>
          <w:sz w:val="32"/>
          <w:szCs w:val="32"/>
          <w:lang w:val="en-US" w:eastAsia="zh-CN"/>
        </w:rPr>
        <w:t>85%</w:t>
      </w:r>
      <w:r>
        <w:rPr>
          <w:rFonts w:hint="eastAsia" w:ascii="Times New Roman" w:hAnsi="Times New Roman" w:eastAsia="仿宋_GB2312" w:cs="Times New Roman"/>
          <w:sz w:val="32"/>
          <w:szCs w:val="32"/>
          <w:lang w:val="en-US" w:eastAsia="zh-CN"/>
        </w:rPr>
        <w:t>，</w:t>
      </w:r>
      <w:r>
        <w:rPr>
          <w:rFonts w:hint="default" w:ascii="Times New Roman" w:hAnsi="Times New Roman" w:eastAsia="仿宋_GB2312" w:cs="Times New Roman"/>
          <w:sz w:val="32"/>
          <w:szCs w:val="32"/>
        </w:rPr>
        <w:t>实际完成值：</w:t>
      </w:r>
      <w:r>
        <w:rPr>
          <w:rFonts w:hint="default" w:ascii="Times New Roman" w:hAnsi="Times New Roman" w:eastAsia="仿宋_GB2312" w:cs="Times New Roman"/>
          <w:sz w:val="32"/>
          <w:szCs w:val="32"/>
          <w:lang w:val="en-US" w:eastAsia="zh-CN"/>
        </w:rPr>
        <w:t>85%</w:t>
      </w:r>
      <w:r>
        <w:rPr>
          <w:rFonts w:hint="default" w:ascii="Times New Roman" w:hAnsi="Times New Roman" w:eastAsia="仿宋_GB2312" w:cs="Times New Roman"/>
          <w:sz w:val="32"/>
          <w:szCs w:val="32"/>
        </w:rPr>
        <w:t>，指标完成率</w:t>
      </w:r>
      <w:r>
        <w:rPr>
          <w:rFonts w:hint="default" w:ascii="Times New Roman" w:hAnsi="Times New Roman" w:eastAsia="仿宋_GB2312" w:cs="Times New Roman"/>
          <w:sz w:val="32"/>
          <w:szCs w:val="32"/>
          <w:lang w:val="en-US" w:eastAsia="zh-CN"/>
        </w:rPr>
        <w:t>100</w:t>
      </w:r>
      <w:r>
        <w:rPr>
          <w:rFonts w:hint="default" w:ascii="Times New Roman" w:hAnsi="Times New Roman" w:eastAsia="仿宋_GB2312" w:cs="Times New Roman"/>
          <w:sz w:val="32"/>
          <w:szCs w:val="32"/>
        </w:rPr>
        <w:t>%</w:t>
      </w:r>
      <w:r>
        <w:rPr>
          <w:rFonts w:hint="default" w:ascii="Times New Roman" w:hAnsi="Times New Roman" w:eastAsia="仿宋_GB2312" w:cs="Times New Roman"/>
          <w:sz w:val="32"/>
          <w:szCs w:val="32"/>
          <w:lang w:val="en-US" w:eastAsia="zh-CN"/>
        </w:rPr>
        <w:t>.</w:t>
      </w:r>
    </w:p>
    <w:p w14:paraId="66F64245">
      <w:pPr>
        <w:keepNext w:val="0"/>
        <w:keepLines w:val="0"/>
        <w:pageBreakBefore w:val="0"/>
        <w:widowControl w:val="0"/>
        <w:kinsoku/>
        <w:wordWrap w:val="0"/>
        <w:overflowPunct/>
        <w:topLinePunct/>
        <w:autoSpaceDE/>
        <w:autoSpaceDN/>
        <w:bidi w:val="0"/>
        <w:adjustRightInd/>
        <w:snapToGrid/>
        <w:spacing w:line="560" w:lineRule="exact"/>
        <w:ind w:firstLine="643" w:firstLineChars="200"/>
        <w:textAlignment w:val="auto"/>
        <w:rPr>
          <w:rFonts w:hint="eastAsia" w:ascii="楷体" w:hAnsi="楷体" w:eastAsia="楷体" w:cs="楷体"/>
          <w:b/>
          <w:bCs/>
          <w:sz w:val="32"/>
          <w:szCs w:val="32"/>
          <w:lang w:val="en-US" w:eastAsia="zh-Hans"/>
        </w:rPr>
      </w:pPr>
      <w:r>
        <w:rPr>
          <w:rFonts w:hint="eastAsia" w:ascii="楷体" w:hAnsi="楷体" w:eastAsia="楷体" w:cs="楷体"/>
          <w:b/>
          <w:bCs/>
          <w:sz w:val="32"/>
          <w:szCs w:val="32"/>
          <w:lang w:val="en-US" w:eastAsia="zh-CN"/>
        </w:rPr>
        <w:t>（五）</w:t>
      </w:r>
      <w:r>
        <w:rPr>
          <w:rFonts w:hint="eastAsia" w:ascii="楷体" w:hAnsi="楷体" w:eastAsia="楷体" w:cs="楷体"/>
          <w:b/>
          <w:bCs/>
          <w:sz w:val="32"/>
          <w:szCs w:val="32"/>
          <w:lang w:val="en-US" w:eastAsia="zh-Hans"/>
        </w:rPr>
        <w:t>预算执行进度与绩效指标总体完成率偏差</w:t>
      </w:r>
    </w:p>
    <w:p w14:paraId="2A48E013">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en-US" w:eastAsia="zh-CN"/>
        </w:rPr>
        <w:t>昌州财建（2023）135号关于提前下达2024年中央林业草原改革发展资金预算的投资</w:t>
      </w:r>
      <w:r>
        <w:rPr>
          <w:rFonts w:hint="default" w:ascii="Times New Roman" w:hAnsi="Times New Roman" w:eastAsia="仿宋_GB2312" w:cs="Times New Roman"/>
          <w:sz w:val="32"/>
          <w:szCs w:val="32"/>
        </w:rPr>
        <w:t>项目年初预算</w:t>
      </w:r>
      <w:r>
        <w:rPr>
          <w:rFonts w:hint="default" w:ascii="Times New Roman" w:hAnsi="Times New Roman" w:eastAsia="仿宋_GB2312" w:cs="Times New Roman"/>
          <w:sz w:val="32"/>
          <w:szCs w:val="32"/>
          <w:lang w:val="en-US" w:eastAsia="zh-CN"/>
        </w:rPr>
        <w:t>1363.06</w:t>
      </w:r>
      <w:r>
        <w:rPr>
          <w:rFonts w:hint="default" w:ascii="Times New Roman" w:hAnsi="Times New Roman" w:eastAsia="仿宋_GB2312" w:cs="Times New Roman"/>
          <w:sz w:val="32"/>
          <w:szCs w:val="32"/>
        </w:rPr>
        <w:t>万元，全年预算</w:t>
      </w:r>
      <w:r>
        <w:rPr>
          <w:rFonts w:hint="default" w:ascii="Times New Roman" w:hAnsi="Times New Roman" w:eastAsia="仿宋_GB2312" w:cs="Times New Roman"/>
          <w:sz w:val="32"/>
          <w:szCs w:val="32"/>
          <w:lang w:val="en-US" w:eastAsia="zh-CN"/>
        </w:rPr>
        <w:t>1363.06</w:t>
      </w:r>
      <w:r>
        <w:rPr>
          <w:rFonts w:hint="default" w:ascii="Times New Roman" w:hAnsi="Times New Roman" w:eastAsia="仿宋_GB2312" w:cs="Times New Roman"/>
          <w:sz w:val="32"/>
          <w:szCs w:val="32"/>
        </w:rPr>
        <w:t>万元，实际支出</w:t>
      </w:r>
      <w:r>
        <w:rPr>
          <w:rFonts w:hint="default" w:ascii="Times New Roman" w:hAnsi="Times New Roman" w:eastAsia="仿宋_GB2312" w:cs="Times New Roman"/>
          <w:sz w:val="32"/>
          <w:szCs w:val="32"/>
          <w:lang w:val="en-US" w:eastAsia="zh-CN"/>
        </w:rPr>
        <w:t>1300.21</w:t>
      </w:r>
      <w:r>
        <w:rPr>
          <w:rFonts w:hint="default" w:ascii="Times New Roman" w:hAnsi="Times New Roman" w:eastAsia="仿宋_GB2312" w:cs="Times New Roman"/>
          <w:sz w:val="32"/>
          <w:szCs w:val="32"/>
        </w:rPr>
        <w:t>万元，预算执行率为</w:t>
      </w:r>
      <w:r>
        <w:rPr>
          <w:rFonts w:hint="default" w:ascii="Times New Roman" w:hAnsi="Times New Roman" w:eastAsia="仿宋_GB2312" w:cs="Times New Roman"/>
          <w:sz w:val="32"/>
          <w:szCs w:val="32"/>
          <w:lang w:val="en-US" w:eastAsia="zh-CN"/>
        </w:rPr>
        <w:t>95.39</w:t>
      </w:r>
      <w:r>
        <w:rPr>
          <w:rFonts w:hint="default" w:ascii="Times New Roman" w:hAnsi="Times New Roman" w:eastAsia="仿宋_GB2312" w:cs="Times New Roman"/>
          <w:sz w:val="32"/>
          <w:szCs w:val="32"/>
        </w:rPr>
        <w:t>%，项目绩效指标总体完成率为</w:t>
      </w:r>
      <w:r>
        <w:rPr>
          <w:rFonts w:hint="default" w:ascii="Times New Roman" w:hAnsi="Times New Roman" w:eastAsia="仿宋_GB2312" w:cs="Times New Roman"/>
          <w:sz w:val="32"/>
          <w:szCs w:val="32"/>
          <w:lang w:val="en-US" w:eastAsia="zh-CN"/>
        </w:rPr>
        <w:t>99.29</w:t>
      </w:r>
      <w:r>
        <w:rPr>
          <w:rFonts w:hint="default" w:ascii="Times New Roman" w:hAnsi="Times New Roman" w:eastAsia="仿宋_GB2312" w:cs="Times New Roman"/>
          <w:sz w:val="32"/>
          <w:szCs w:val="32"/>
        </w:rPr>
        <w:t>%，</w:t>
      </w:r>
      <w:r>
        <w:rPr>
          <w:rFonts w:hint="default" w:ascii="Times New Roman" w:hAnsi="Times New Roman" w:eastAsia="仿宋_GB2312" w:cs="Times New Roman"/>
          <w:sz w:val="32"/>
          <w:szCs w:val="32"/>
          <w:lang w:eastAsia="zh-Hans"/>
        </w:rPr>
        <w:t>总体</w:t>
      </w:r>
      <w:r>
        <w:rPr>
          <w:rFonts w:hint="default" w:ascii="Times New Roman" w:hAnsi="Times New Roman" w:eastAsia="仿宋_GB2312" w:cs="Times New Roman"/>
          <w:sz w:val="32"/>
          <w:szCs w:val="32"/>
        </w:rPr>
        <w:t>偏差率为</w:t>
      </w:r>
      <w:r>
        <w:rPr>
          <w:rFonts w:hint="eastAsia" w:eastAsia="仿宋_GB2312" w:cs="Times New Roman"/>
          <w:sz w:val="32"/>
          <w:szCs w:val="32"/>
          <w:lang w:val="en-US" w:eastAsia="zh-CN"/>
        </w:rPr>
        <w:t>3.9</w:t>
      </w:r>
      <w:r>
        <w:rPr>
          <w:rFonts w:hint="default" w:ascii="Times New Roman" w:hAnsi="Times New Roman" w:eastAsia="仿宋_GB2312" w:cs="Times New Roman"/>
          <w:sz w:val="32"/>
          <w:szCs w:val="32"/>
        </w:rPr>
        <w:t>%</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lang w:eastAsia="zh-Hans"/>
        </w:rPr>
        <w:t>偏差</w:t>
      </w:r>
      <w:r>
        <w:rPr>
          <w:rFonts w:hint="default" w:ascii="Times New Roman" w:hAnsi="Times New Roman" w:eastAsia="仿宋_GB2312" w:cs="Times New Roman"/>
          <w:sz w:val="32"/>
          <w:szCs w:val="32"/>
        </w:rPr>
        <w:t>原因</w:t>
      </w:r>
      <w:r>
        <w:rPr>
          <w:rFonts w:hint="default" w:ascii="Times New Roman" w:hAnsi="Times New Roman" w:eastAsia="仿宋_GB2312" w:cs="Times New Roman"/>
          <w:sz w:val="32"/>
          <w:szCs w:val="32"/>
          <w:lang w:val="en-US" w:eastAsia="zh-CN"/>
        </w:rPr>
        <w:t>部分退耕还林地块验收不合格，没有兑付补助资金，存在5%的偏差</w:t>
      </w:r>
      <w:r>
        <w:rPr>
          <w:rFonts w:hint="default" w:ascii="Times New Roman" w:hAnsi="Times New Roman" w:eastAsia="仿宋_GB2312" w:cs="Times New Roman"/>
          <w:sz w:val="32"/>
          <w:szCs w:val="32"/>
        </w:rPr>
        <w:t>，</w:t>
      </w:r>
      <w:r>
        <w:rPr>
          <w:rFonts w:hint="default" w:ascii="Times New Roman" w:hAnsi="Times New Roman" w:eastAsia="仿宋_GB2312" w:cs="Times New Roman"/>
          <w:sz w:val="32"/>
          <w:szCs w:val="32"/>
          <w:lang w:eastAsia="zh-Hans"/>
        </w:rPr>
        <w:t>改进</w:t>
      </w:r>
      <w:r>
        <w:rPr>
          <w:rFonts w:hint="default" w:ascii="Times New Roman" w:hAnsi="Times New Roman" w:eastAsia="仿宋_GB2312" w:cs="Times New Roman"/>
          <w:sz w:val="32"/>
          <w:szCs w:val="32"/>
        </w:rPr>
        <w:t>措施</w:t>
      </w:r>
      <w:r>
        <w:rPr>
          <w:rFonts w:hint="default" w:ascii="Times New Roman" w:hAnsi="Times New Roman" w:eastAsia="仿宋_GB2312" w:cs="Times New Roman"/>
          <w:sz w:val="32"/>
          <w:szCs w:val="32"/>
          <w:lang w:val="en-US" w:eastAsia="zh-CN"/>
        </w:rPr>
        <w:t>:对不合格地块及时告知退耕户，督促退耕户在秋季进行补植补造。</w:t>
      </w:r>
    </w:p>
    <w:p w14:paraId="15E792B3">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lang w:val="en-US" w:eastAsia="zh-CN"/>
        </w:rPr>
        <w:t>五、</w:t>
      </w:r>
      <w:r>
        <w:rPr>
          <w:rFonts w:hint="eastAsia" w:ascii="黑体" w:hAnsi="黑体" w:eastAsia="黑体" w:cs="黑体"/>
          <w:sz w:val="32"/>
          <w:szCs w:val="32"/>
        </w:rPr>
        <w:t>主要经验及做法、存在的问题及原因分析</w:t>
      </w:r>
    </w:p>
    <w:p w14:paraId="7DF22C75">
      <w:pPr>
        <w:keepNext w:val="0"/>
        <w:keepLines w:val="0"/>
        <w:pageBreakBefore w:val="0"/>
        <w:widowControl w:val="0"/>
        <w:kinsoku/>
        <w:wordWrap w:val="0"/>
        <w:overflowPunct/>
        <w:topLinePunct/>
        <w:autoSpaceDE/>
        <w:autoSpaceDN/>
        <w:bidi w:val="0"/>
        <w:adjustRightInd/>
        <w:snapToGrid/>
        <w:spacing w:line="560" w:lineRule="exact"/>
        <w:ind w:firstLine="643" w:firstLineChars="200"/>
        <w:textAlignment w:val="auto"/>
        <w:rPr>
          <w:rFonts w:hint="eastAsia" w:ascii="楷体" w:hAnsi="楷体" w:eastAsia="楷体" w:cs="楷体"/>
          <w:b/>
          <w:bCs/>
          <w:sz w:val="32"/>
          <w:szCs w:val="32"/>
          <w:lang w:eastAsia="zh-CN"/>
        </w:rPr>
      </w:pPr>
      <w:r>
        <w:rPr>
          <w:rFonts w:hint="eastAsia" w:ascii="楷体" w:hAnsi="楷体" w:eastAsia="楷体" w:cs="楷体"/>
          <w:b/>
          <w:bCs/>
          <w:sz w:val="32"/>
          <w:szCs w:val="32"/>
        </w:rPr>
        <w:t>（一）主要经验及做法</w:t>
      </w:r>
    </w:p>
    <w:p w14:paraId="7030241F">
      <w:pPr>
        <w:spacing w:line="560" w:lineRule="exact"/>
        <w:ind w:firstLine="964" w:firstLineChars="300"/>
        <w:rPr>
          <w:rFonts w:hint="eastAsia" w:ascii="仿宋_GB2312" w:eastAsia="仿宋_GB2312"/>
          <w:sz w:val="32"/>
          <w:szCs w:val="32"/>
        </w:rPr>
      </w:pPr>
      <w:r>
        <w:rPr>
          <w:rFonts w:hint="eastAsia" w:ascii="仿宋_GB2312" w:hAnsi="楷体_GB2312" w:eastAsia="仿宋_GB2312" w:cs="楷体_GB2312"/>
          <w:b/>
          <w:bCs/>
          <w:sz w:val="32"/>
          <w:szCs w:val="32"/>
          <w:lang w:val="en-US" w:eastAsia="zh-CN"/>
        </w:rPr>
        <w:t>1.</w:t>
      </w:r>
      <w:r>
        <w:rPr>
          <w:rFonts w:hint="eastAsia" w:ascii="仿宋_GB2312" w:hAnsi="楷体_GB2312" w:eastAsia="仿宋_GB2312" w:cs="楷体_GB2312"/>
          <w:b/>
          <w:bCs/>
          <w:sz w:val="32"/>
          <w:szCs w:val="32"/>
        </w:rPr>
        <w:t>高度重视、高位推动</w:t>
      </w:r>
      <w:r>
        <w:rPr>
          <w:rFonts w:hint="eastAsia" w:ascii="仿宋_GB2312" w:hAnsi="楷体_GB2312" w:eastAsia="仿宋_GB2312" w:cs="楷体_GB2312"/>
          <w:sz w:val="32"/>
          <w:szCs w:val="32"/>
        </w:rPr>
        <w:t>。</w:t>
      </w:r>
      <w:r>
        <w:rPr>
          <w:rFonts w:hint="eastAsia" w:ascii="仿宋_GB2312" w:eastAsia="仿宋_GB2312"/>
          <w:sz w:val="32"/>
          <w:szCs w:val="32"/>
        </w:rPr>
        <w:t>我县把退耕还林工作作为近期一项重要工作来抓，充分认识退耕还林在改善生态环境、优化土地利用结构、促进农民增收等方面的重要作用，专人负责，按照职责分工认真配合、履职尽责。按照昌吉回族自治州人大出台的《自治州城乡人居环境绿化条例》，推动退耕还林提供法律保障。昌吉回族州下发的《关于做好自治州农用地生态恢复工作的补充通知》（昌州林字〔2017〕183号）要求，我县落实用水指标，有效推动了退耕还林工作。</w:t>
      </w:r>
    </w:p>
    <w:p w14:paraId="6343D234">
      <w:pPr>
        <w:spacing w:line="560" w:lineRule="exact"/>
        <w:ind w:firstLine="643" w:firstLineChars="200"/>
        <w:rPr>
          <w:rFonts w:hint="eastAsia" w:ascii="Times New Roman" w:hAnsi="Times New Roman" w:eastAsia="仿宋_GB2312" w:cs="Times New Roman"/>
          <w:sz w:val="32"/>
          <w:szCs w:val="32"/>
          <w:lang w:eastAsia="zh-CN"/>
        </w:rPr>
      </w:pPr>
      <w:r>
        <w:rPr>
          <w:rFonts w:hint="eastAsia" w:ascii="仿宋_GB2312" w:eastAsia="仿宋_GB2312"/>
          <w:b/>
          <w:bCs/>
          <w:sz w:val="32"/>
          <w:szCs w:val="32"/>
          <w:lang w:val="en-US" w:eastAsia="zh-CN"/>
        </w:rPr>
        <w:t>2.</w:t>
      </w:r>
      <w:r>
        <w:rPr>
          <w:rFonts w:hint="eastAsia" w:ascii="仿宋_GB2312" w:eastAsia="仿宋_GB2312"/>
          <w:b/>
          <w:bCs/>
          <w:sz w:val="32"/>
          <w:szCs w:val="32"/>
        </w:rPr>
        <w:t>严格落实退耕还政策。</w:t>
      </w:r>
      <w:r>
        <w:rPr>
          <w:rFonts w:hint="eastAsia" w:ascii="仿宋_GB2312" w:eastAsia="仿宋_GB2312"/>
          <w:sz w:val="32"/>
          <w:szCs w:val="32"/>
        </w:rPr>
        <w:t>我县严格落实《退耕还林条例》《新疆维吾尔自治区新一轮退耕还林还草管理办法》，坚持统筹规划、突出重点，有计划分步骤推进工程建设；坚持农民自愿、政府引导，在充分尊重农民意愿的前提下，采取自下而上、上下结合方式进行；坚持尊重规律，根据不同地理、气候和立地条件，宜乔则乔、宜灌则灌，合理选择经济林与生态林树种。坚持严格范围，稳步推进，结合自治州实际，我县主要对严重沙化耕地实施退耕还林</w:t>
      </w:r>
      <w:r>
        <w:rPr>
          <w:rFonts w:hint="eastAsia" w:ascii="仿宋_GB2312" w:eastAsia="仿宋_GB2312"/>
          <w:sz w:val="32"/>
          <w:szCs w:val="32"/>
          <w:lang w:eastAsia="zh-CN"/>
        </w:rPr>
        <w:t>。</w:t>
      </w:r>
    </w:p>
    <w:p w14:paraId="493D4F86">
      <w:pPr>
        <w:keepNext w:val="0"/>
        <w:keepLines w:val="0"/>
        <w:pageBreakBefore w:val="0"/>
        <w:widowControl w:val="0"/>
        <w:kinsoku/>
        <w:wordWrap w:val="0"/>
        <w:overflowPunct/>
        <w:topLinePunct/>
        <w:autoSpaceDE/>
        <w:autoSpaceDN/>
        <w:bidi w:val="0"/>
        <w:adjustRightInd/>
        <w:snapToGrid/>
        <w:spacing w:line="560" w:lineRule="exact"/>
        <w:ind w:firstLine="643" w:firstLineChars="200"/>
        <w:textAlignment w:val="auto"/>
        <w:rPr>
          <w:rFonts w:hint="default" w:ascii="楷体" w:hAnsi="楷体" w:eastAsia="楷体" w:cs="楷体"/>
          <w:b/>
          <w:bCs/>
          <w:sz w:val="32"/>
          <w:szCs w:val="32"/>
          <w:lang w:eastAsia="zh-CN"/>
        </w:rPr>
      </w:pPr>
      <w:r>
        <w:rPr>
          <w:rFonts w:hint="default" w:ascii="楷体" w:hAnsi="楷体" w:eastAsia="楷体" w:cs="楷体"/>
          <w:b/>
          <w:bCs/>
          <w:sz w:val="32"/>
          <w:szCs w:val="32"/>
          <w:lang w:eastAsia="zh-CN"/>
        </w:rPr>
        <w:t>（</w:t>
      </w:r>
      <w:r>
        <w:rPr>
          <w:rFonts w:hint="default" w:ascii="楷体" w:hAnsi="楷体" w:eastAsia="楷体" w:cs="楷体"/>
          <w:b/>
          <w:bCs/>
          <w:sz w:val="32"/>
          <w:szCs w:val="32"/>
          <w:lang w:val="en-US" w:eastAsia="zh-CN"/>
        </w:rPr>
        <w:t>二</w:t>
      </w:r>
      <w:r>
        <w:rPr>
          <w:rFonts w:hint="default" w:ascii="楷体" w:hAnsi="楷体" w:eastAsia="楷体" w:cs="楷体"/>
          <w:b/>
          <w:bCs/>
          <w:sz w:val="32"/>
          <w:szCs w:val="32"/>
          <w:lang w:eastAsia="zh-CN"/>
        </w:rPr>
        <w:t>）</w:t>
      </w:r>
      <w:r>
        <w:rPr>
          <w:rFonts w:hint="default" w:ascii="楷体" w:hAnsi="楷体" w:eastAsia="楷体" w:cs="楷体"/>
          <w:b/>
          <w:bCs/>
          <w:sz w:val="32"/>
          <w:szCs w:val="32"/>
        </w:rPr>
        <w:t>存在的问题及原因分析</w:t>
      </w:r>
    </w:p>
    <w:p w14:paraId="214ECD77">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1.因奇台县地下水位下降，近几年持续干旱，水资源短缺等原因，部分地块成活保存率达不到国家验收合格标准，导致部分资金未能按时发放。</w:t>
      </w:r>
    </w:p>
    <w:p w14:paraId="60FF40C4">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en-US" w:eastAsia="zh-CN"/>
        </w:rPr>
        <w:t>2.</w:t>
      </w:r>
      <w:r>
        <w:rPr>
          <w:rFonts w:hint="default" w:ascii="Times New Roman" w:hAnsi="Times New Roman" w:eastAsia="仿宋_GB2312" w:cs="Times New Roman"/>
          <w:sz w:val="32"/>
          <w:szCs w:val="32"/>
          <w:highlight w:val="none"/>
          <w:lang w:val="en-US" w:eastAsia="zh-CN"/>
        </w:rPr>
        <w:t>新一轮退耕还林延长期补助面积</w:t>
      </w:r>
      <w:r>
        <w:rPr>
          <w:rFonts w:hint="eastAsia" w:ascii="Times New Roman" w:hAnsi="Times New Roman" w:eastAsia="仿宋_GB2312" w:cs="Times New Roman"/>
          <w:sz w:val="32"/>
          <w:szCs w:val="32"/>
          <w:highlight w:val="none"/>
          <w:lang w:val="en-US" w:eastAsia="zh-CN"/>
        </w:rPr>
        <w:t>为</w:t>
      </w:r>
      <w:r>
        <w:rPr>
          <w:rFonts w:hint="default" w:ascii="Times New Roman" w:hAnsi="Times New Roman" w:eastAsia="仿宋_GB2312" w:cs="Times New Roman"/>
          <w:sz w:val="32"/>
          <w:szCs w:val="32"/>
          <w:highlight w:val="none"/>
          <w:lang w:val="en-US" w:eastAsia="zh-CN"/>
        </w:rPr>
        <w:t>13.63万亩</w:t>
      </w:r>
      <w:r>
        <w:rPr>
          <w:rFonts w:hint="eastAsia" w:ascii="Times New Roman" w:hAnsi="Times New Roman" w:eastAsia="仿宋_GB2312" w:cs="Times New Roman"/>
          <w:sz w:val="32"/>
          <w:szCs w:val="32"/>
          <w:highlight w:val="none"/>
          <w:lang w:val="en-US" w:eastAsia="zh-CN"/>
        </w:rPr>
        <w:t>，</w:t>
      </w:r>
      <w:r>
        <w:rPr>
          <w:rFonts w:hint="eastAsia" w:ascii="Times New Roman" w:hAnsi="Times New Roman" w:eastAsia="仿宋_GB2312" w:cs="Times New Roman"/>
          <w:kern w:val="0"/>
          <w:sz w:val="32"/>
          <w:szCs w:val="32"/>
          <w:highlight w:val="none"/>
          <w:lang w:val="en-US" w:eastAsia="zh-CN"/>
        </w:rPr>
        <w:t>2023年秋季、2024年春季进行补植补栽后，</w:t>
      </w:r>
      <w:r>
        <w:rPr>
          <w:rFonts w:hint="eastAsia" w:eastAsia="仿宋_GB2312" w:cs="Times New Roman"/>
          <w:kern w:val="0"/>
          <w:sz w:val="32"/>
          <w:szCs w:val="32"/>
          <w:highlight w:val="none"/>
          <w:lang w:val="en-US" w:eastAsia="zh-CN"/>
        </w:rPr>
        <w:t>验收合格</w:t>
      </w:r>
      <w:r>
        <w:rPr>
          <w:rFonts w:hint="default" w:ascii="Times New Roman" w:hAnsi="Times New Roman" w:eastAsia="仿宋_GB2312" w:cs="Times New Roman"/>
          <w:sz w:val="32"/>
          <w:szCs w:val="32"/>
          <w:highlight w:val="none"/>
          <w:lang w:val="en-US" w:eastAsia="zh-CN"/>
        </w:rPr>
        <w:t>13.0021</w:t>
      </w:r>
      <w:r>
        <w:rPr>
          <w:rFonts w:hint="eastAsia" w:eastAsia="仿宋_GB2312" w:cs="Times New Roman"/>
          <w:sz w:val="32"/>
          <w:szCs w:val="32"/>
          <w:highlight w:val="none"/>
          <w:lang w:val="en-US" w:eastAsia="zh-CN"/>
        </w:rPr>
        <w:t>万亩合格，剩余0</w:t>
      </w:r>
      <w:r>
        <w:rPr>
          <w:rFonts w:hint="default" w:ascii="Times New Roman" w:hAnsi="Times New Roman" w:eastAsia="仿宋_GB2312" w:cs="Times New Roman"/>
          <w:sz w:val="32"/>
          <w:szCs w:val="32"/>
          <w:highlight w:val="none"/>
          <w:lang w:val="en-US" w:eastAsia="zh-CN"/>
        </w:rPr>
        <w:t>.</w:t>
      </w:r>
      <w:r>
        <w:rPr>
          <w:rFonts w:hint="eastAsia" w:eastAsia="仿宋_GB2312" w:cs="Times New Roman"/>
          <w:sz w:val="32"/>
          <w:szCs w:val="32"/>
          <w:highlight w:val="none"/>
          <w:lang w:val="en-US" w:eastAsia="zh-CN"/>
        </w:rPr>
        <w:t>63万亩不合格，没有兑付补助资金，</w:t>
      </w:r>
      <w:r>
        <w:rPr>
          <w:rFonts w:hint="default" w:ascii="Times New Roman" w:hAnsi="Times New Roman" w:eastAsia="仿宋_GB2312" w:cs="Times New Roman"/>
          <w:sz w:val="32"/>
          <w:szCs w:val="32"/>
          <w:lang w:val="en-US" w:eastAsia="zh-CN"/>
        </w:rPr>
        <w:t>未兑付资金及时上缴国库，后续兑付迟缓。</w:t>
      </w:r>
    </w:p>
    <w:p w14:paraId="1505C07C">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lang w:val="en-US" w:eastAsia="zh-CN"/>
        </w:rPr>
        <w:t>六、</w:t>
      </w:r>
      <w:r>
        <w:rPr>
          <w:rFonts w:hint="eastAsia" w:ascii="黑体" w:hAnsi="黑体" w:eastAsia="黑体" w:cs="黑体"/>
          <w:sz w:val="32"/>
          <w:szCs w:val="32"/>
        </w:rPr>
        <w:t>有关建议</w:t>
      </w:r>
    </w:p>
    <w:p w14:paraId="2294ED12">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1.多进行有关绩效管理工作方面的培训。积极组织第三方开展绩效管理工作培训，进一步夯实业务基础，提高我单位绩效人员水平。</w:t>
      </w:r>
    </w:p>
    <w:p w14:paraId="2C6FDB74">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2.专门设定对绩效工作人员定职、定岗、定责等相关制度措施，进一步提升我单位绩效管理工作业务水平，扎实做好绩效管理工作。</w:t>
      </w:r>
    </w:p>
    <w:p w14:paraId="1EF40B66">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3.进一步规范项目建设的程序。项目前期做好可行性研究报告，更加细化实施方案，严格执行资金管理办法和财政资金管理制度，严格按照项目实施方案、招投标管理办法等稳步推进工作，各部门单位根据自己项目的特点进行总结。</w:t>
      </w:r>
    </w:p>
    <w:p w14:paraId="756F1E63">
      <w:pPr>
        <w:shd w:val="clear"/>
        <w:spacing w:line="600" w:lineRule="exact"/>
        <w:ind w:firstLine="640" w:firstLineChars="200"/>
        <w:outlineLvl w:val="0"/>
        <w:rPr>
          <w:sz w:val="22"/>
          <w:szCs w:val="28"/>
        </w:rPr>
      </w:pPr>
      <w:r>
        <w:rPr>
          <w:rFonts w:hint="eastAsia" w:ascii="仿宋_GB2312" w:hAnsi="仿宋_GB2312" w:eastAsia="仿宋_GB2312" w:cs="仿宋_GB2312"/>
          <w:sz w:val="32"/>
          <w:szCs w:val="32"/>
          <w:highlight w:val="none"/>
          <w:lang w:val="en-US" w:eastAsia="zh-CN"/>
        </w:rPr>
        <w:t>4.进一步完善项目评价过程中有关数据和资料的收集、整理、审核及分析。项目启动时同步做好档案的归纳与整理，及时整理、收集、汇总，健全档案资料。项目后续管理有待进一步加强和跟踪</w:t>
      </w:r>
      <w:r>
        <w:rPr>
          <w:rFonts w:hint="eastAsia" w:ascii="仿宋_GB2312" w:hAnsi="仿宋_GB2312" w:eastAsia="仿宋_GB2312" w:cs="仿宋_GB2312"/>
          <w:sz w:val="36"/>
          <w:szCs w:val="32"/>
        </w:rPr>
        <w:t>。</w:t>
      </w:r>
    </w:p>
    <w:p w14:paraId="24E53EF4">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5.进一步加强对绩效管理工作的组织领导，提高对预算绩效管理工作重要性的认识，总结经验查找问题，抓紧研究制定更全面更完善的绩效评价管理办法。结合食品安全考核建立绩效工作考核制度，加大全局对全面实施预算绩效管理和绩效管理工作的学习力度，让“花钱必问效，无效必问责”的理念深入工作每个环节。</w:t>
      </w:r>
    </w:p>
    <w:p w14:paraId="3185FFFA">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lang w:val="en-US" w:eastAsia="zh-CN"/>
        </w:rPr>
        <w:t>七、</w:t>
      </w:r>
      <w:r>
        <w:rPr>
          <w:rFonts w:hint="eastAsia" w:ascii="黑体" w:hAnsi="黑体" w:eastAsia="黑体" w:cs="黑体"/>
          <w:sz w:val="32"/>
          <w:szCs w:val="32"/>
        </w:rPr>
        <w:t>其他需要说</w:t>
      </w:r>
      <w:bookmarkStart w:id="0" w:name="page8"/>
      <w:bookmarkEnd w:id="0"/>
      <w:r>
        <w:rPr>
          <w:rFonts w:hint="eastAsia" w:ascii="黑体" w:hAnsi="黑体" w:eastAsia="黑体" w:cs="黑体"/>
          <w:sz w:val="32"/>
          <w:szCs w:val="32"/>
        </w:rPr>
        <w:t>明的问题</w:t>
      </w:r>
    </w:p>
    <w:p w14:paraId="166870A6">
      <w:pPr>
        <w:keepNext w:val="0"/>
        <w:keepLines w:val="0"/>
        <w:pageBreakBefore w:val="0"/>
        <w:widowControl w:val="0"/>
        <w:kinsoku/>
        <w:wordWrap w:val="0"/>
        <w:overflowPunct/>
        <w:topLinePunct/>
        <w:autoSpaceDE/>
        <w:autoSpaceDN/>
        <w:bidi w:val="0"/>
        <w:adjustRightInd/>
        <w:snapToGrid/>
        <w:spacing w:line="560" w:lineRule="exact"/>
        <w:ind w:firstLine="643" w:firstLineChars="200"/>
        <w:textAlignment w:val="auto"/>
        <w:rPr>
          <w:rFonts w:hint="eastAsia" w:ascii="Times New Roman" w:hAnsi="Times New Roman" w:eastAsia="仿宋_GB2312" w:cs="Times New Roman"/>
          <w:kern w:val="2"/>
          <w:szCs w:val="32"/>
          <w:highlight w:val="none"/>
          <w:lang w:val="en-US" w:eastAsia="zh-CN" w:bidi="ar-SA"/>
        </w:rPr>
      </w:pPr>
      <w:r>
        <w:rPr>
          <w:rFonts w:hint="default" w:ascii="Times New Roman" w:hAnsi="Times New Roman" w:eastAsia="仿宋_GB2312" w:cs="Times New Roman"/>
          <w:b/>
          <w:bCs/>
          <w:sz w:val="32"/>
          <w:szCs w:val="32"/>
          <w:lang w:val="en-US" w:eastAsia="zh-CN"/>
        </w:rPr>
        <w:t>一是</w:t>
      </w:r>
      <w:r>
        <w:rPr>
          <w:rFonts w:hint="default" w:ascii="Times New Roman" w:hAnsi="Times New Roman" w:eastAsia="仿宋_GB2312" w:cs="Times New Roman"/>
          <w:sz w:val="32"/>
          <w:szCs w:val="32"/>
          <w:lang w:val="en-US" w:eastAsia="zh-CN"/>
        </w:rPr>
        <w:t>工程进度滞后2年完成。2018年度新一轮退耕还林均延迟两年至2020年才全面完成造林任务，对合同签订、验收、档案管理都造成了极大被动。</w:t>
      </w:r>
      <w:r>
        <w:rPr>
          <w:rFonts w:hint="default" w:ascii="Times New Roman" w:hAnsi="Times New Roman" w:eastAsia="仿宋_GB2312" w:cs="Times New Roman"/>
          <w:b/>
          <w:bCs/>
          <w:sz w:val="32"/>
          <w:szCs w:val="32"/>
          <w:lang w:val="en-US" w:eastAsia="zh-CN"/>
        </w:rPr>
        <w:t>二是</w:t>
      </w:r>
      <w:r>
        <w:rPr>
          <w:rFonts w:hint="default" w:ascii="Times New Roman" w:hAnsi="Times New Roman" w:eastAsia="仿宋_GB2312" w:cs="Times New Roman"/>
          <w:sz w:val="32"/>
          <w:szCs w:val="32"/>
          <w:lang w:val="en-US" w:eastAsia="zh-CN"/>
        </w:rPr>
        <w:t>各乡镇普遍存在林业技术人员力量薄弱情形。一些大的乡镇除分管领导外，仅配备1名人员开展林业工作，且还要承担其他农业、水利、等其他方面的工作，实难完成林业各项工作任务。</w:t>
      </w:r>
      <w:r>
        <w:rPr>
          <w:rFonts w:hint="default" w:ascii="Times New Roman" w:hAnsi="Times New Roman" w:eastAsia="仿宋_GB2312" w:cs="Times New Roman"/>
          <w:b/>
          <w:bCs/>
          <w:sz w:val="32"/>
          <w:szCs w:val="32"/>
          <w:lang w:val="en-US" w:eastAsia="zh-CN"/>
        </w:rPr>
        <w:t>三是</w:t>
      </w:r>
      <w:r>
        <w:rPr>
          <w:rFonts w:hint="default" w:ascii="Times New Roman" w:hAnsi="Times New Roman" w:eastAsia="仿宋_GB2312" w:cs="Times New Roman"/>
          <w:sz w:val="32"/>
          <w:szCs w:val="32"/>
          <w:lang w:val="en-US" w:eastAsia="zh-CN"/>
        </w:rPr>
        <w:t>仍然存在“重载轻管”、“林水农用”、“注重套种”等问题，部分地块常年未浇水，引起林木化。</w:t>
      </w:r>
    </w:p>
    <w:p w14:paraId="50591C38">
      <w:pPr>
        <w:pStyle w:val="13"/>
        <w:keepNext w:val="0"/>
        <w:keepLines w:val="0"/>
        <w:pageBreakBefore w:val="0"/>
        <w:widowControl w:val="0"/>
        <w:kinsoku/>
        <w:wordWrap w:val="0"/>
        <w:overflowPunct/>
        <w:topLinePunct/>
        <w:autoSpaceDE/>
        <w:autoSpaceDN/>
        <w:bidi w:val="0"/>
        <w:adjustRightInd/>
        <w:snapToGrid/>
        <w:spacing w:after="0" w:line="560" w:lineRule="exact"/>
        <w:ind w:left="0" w:leftChars="0" w:firstLine="640"/>
        <w:textAlignment w:val="auto"/>
        <w:rPr>
          <w:rFonts w:hint="eastAsia" w:ascii="Times New Roman" w:hAnsi="Times New Roman" w:eastAsia="黑体" w:cs="Times New Roman"/>
          <w:sz w:val="32"/>
          <w:szCs w:val="32"/>
          <w:highlight w:val="none"/>
          <w:lang w:val="en-US" w:eastAsia="zh-CN"/>
        </w:rPr>
        <w:sectPr>
          <w:footerReference r:id="rId3" w:type="default"/>
          <w:pgSz w:w="11906" w:h="16838"/>
          <w:pgMar w:top="2098" w:right="1531" w:bottom="1984" w:left="1531" w:header="851" w:footer="992" w:gutter="0"/>
          <w:pgNumType w:start="1"/>
          <w:cols w:space="425" w:num="1"/>
          <w:docGrid w:type="lines" w:linePitch="312" w:charSpace="0"/>
        </w:sectPr>
      </w:pPr>
    </w:p>
    <w:p w14:paraId="591E39A1">
      <w:pPr>
        <w:keepNext w:val="0"/>
        <w:keepLines w:val="0"/>
        <w:pageBreakBefore w:val="0"/>
        <w:kinsoku/>
        <w:wordWrap/>
        <w:overflowPunct/>
        <w:topLinePunct w:val="0"/>
        <w:autoSpaceDE/>
        <w:autoSpaceDN/>
        <w:bidi w:val="0"/>
        <w:adjustRightInd/>
        <w:snapToGrid/>
        <w:spacing w:line="500" w:lineRule="exact"/>
        <w:rPr>
          <w:rFonts w:hint="eastAsia" w:eastAsia="黑体" w:cs="Times New Roman"/>
          <w:sz w:val="32"/>
          <w:szCs w:val="32"/>
          <w:highlight w:val="none"/>
          <w:lang w:val="en-US" w:eastAsia="zh-CN"/>
        </w:rPr>
      </w:pPr>
      <w:r>
        <w:rPr>
          <w:rFonts w:hint="eastAsia" w:ascii="Times New Roman" w:hAnsi="Times New Roman" w:eastAsia="黑体" w:cs="Times New Roman"/>
          <w:sz w:val="32"/>
          <w:szCs w:val="32"/>
          <w:highlight w:val="none"/>
          <w:lang w:val="en-US" w:eastAsia="zh-CN"/>
        </w:rPr>
        <w:t>附件</w:t>
      </w:r>
      <w:r>
        <w:rPr>
          <w:rFonts w:hint="eastAsia" w:eastAsia="黑体" w:cs="Times New Roman"/>
          <w:sz w:val="32"/>
          <w:szCs w:val="32"/>
          <w:highlight w:val="none"/>
          <w:lang w:val="en-US" w:eastAsia="zh-CN"/>
        </w:rPr>
        <w:t>1</w:t>
      </w:r>
    </w:p>
    <w:p w14:paraId="6C40595E">
      <w:pPr>
        <w:pStyle w:val="19"/>
        <w:keepNext w:val="0"/>
        <w:keepLines w:val="0"/>
        <w:pageBreakBefore w:val="0"/>
        <w:kinsoku/>
        <w:wordWrap/>
        <w:overflowPunct/>
        <w:topLinePunct w:val="0"/>
        <w:autoSpaceDE/>
        <w:autoSpaceDN/>
        <w:bidi w:val="0"/>
        <w:adjustRightInd/>
        <w:snapToGrid/>
        <w:spacing w:line="500" w:lineRule="exact"/>
        <w:ind w:firstLine="562"/>
        <w:jc w:val="center"/>
        <w:rPr>
          <w:rFonts w:hint="eastAsia" w:ascii="仿宋_GB2312" w:hAnsi="仿宋_GB2312" w:eastAsia="仿宋_GB2312" w:cs="仿宋_GB2312"/>
          <w:sz w:val="28"/>
          <w:szCs w:val="40"/>
          <w:highlight w:val="none"/>
        </w:rPr>
      </w:pPr>
      <w:bookmarkStart w:id="1" w:name="_Toc26499_WPSOffice_Level2"/>
      <w:bookmarkStart w:id="2" w:name="_Toc30064_WPSOffice_Level1"/>
      <w:r>
        <w:rPr>
          <w:rFonts w:hint="eastAsia" w:ascii="仿宋_GB2312" w:hAnsi="仿宋_GB2312" w:eastAsia="仿宋_GB2312" w:cs="仿宋_GB2312"/>
          <w:b/>
          <w:bCs/>
          <w:sz w:val="28"/>
          <w:szCs w:val="40"/>
          <w:highlight w:val="none"/>
          <w:lang w:val="en-US" w:eastAsia="zh-CN"/>
        </w:rPr>
        <w:t>昌州财建（2023）135号关于提前下达2024年中央林业草原改革发展资金预算的投资</w:t>
      </w:r>
      <w:r>
        <w:rPr>
          <w:rFonts w:hint="eastAsia" w:ascii="仿宋_GB2312" w:hAnsi="仿宋_GB2312" w:eastAsia="仿宋_GB2312" w:cs="仿宋_GB2312"/>
          <w:b/>
          <w:bCs/>
          <w:sz w:val="28"/>
          <w:szCs w:val="40"/>
          <w:highlight w:val="none"/>
        </w:rPr>
        <w:t>项目绩效评价指标体系及综合评分表</w:t>
      </w:r>
      <w:bookmarkEnd w:id="1"/>
      <w:bookmarkEnd w:id="2"/>
    </w:p>
    <w:tbl>
      <w:tblPr>
        <w:tblStyle w:val="14"/>
        <w:tblW w:w="12683"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1002"/>
        <w:gridCol w:w="1000"/>
        <w:gridCol w:w="1071"/>
        <w:gridCol w:w="1725"/>
        <w:gridCol w:w="5216"/>
        <w:gridCol w:w="5"/>
        <w:gridCol w:w="1299"/>
        <w:gridCol w:w="1365"/>
      </w:tblGrid>
      <w:tr w14:paraId="02C8B3C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52" w:hRule="atLeast"/>
          <w:tblHeader/>
          <w:jc w:val="center"/>
        </w:trPr>
        <w:tc>
          <w:tcPr>
            <w:tcW w:w="1002" w:type="dxa"/>
            <w:shd w:val="clear" w:color="auto" w:fill="FFFFFF"/>
            <w:vAlign w:val="center"/>
          </w:tcPr>
          <w:p w14:paraId="62978D90">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rPr>
              <w:t>一级指标</w:t>
            </w:r>
          </w:p>
        </w:tc>
        <w:tc>
          <w:tcPr>
            <w:tcW w:w="1000" w:type="dxa"/>
            <w:shd w:val="clear" w:color="auto" w:fill="FFFFFF"/>
            <w:vAlign w:val="center"/>
          </w:tcPr>
          <w:p w14:paraId="4DBBCCAA">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rPr>
              <w:t>二级指标</w:t>
            </w:r>
          </w:p>
        </w:tc>
        <w:tc>
          <w:tcPr>
            <w:tcW w:w="1071" w:type="dxa"/>
            <w:shd w:val="clear" w:color="auto" w:fill="FFFFFF"/>
            <w:vAlign w:val="center"/>
          </w:tcPr>
          <w:p w14:paraId="2F878675">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rPr>
              <w:t>三级指标</w:t>
            </w:r>
          </w:p>
        </w:tc>
        <w:tc>
          <w:tcPr>
            <w:tcW w:w="1725" w:type="dxa"/>
            <w:shd w:val="clear" w:color="auto" w:fill="FFFFFF"/>
            <w:vAlign w:val="center"/>
          </w:tcPr>
          <w:p w14:paraId="34818C40">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rPr>
              <w:t>指标解释</w:t>
            </w:r>
          </w:p>
        </w:tc>
        <w:tc>
          <w:tcPr>
            <w:tcW w:w="5216" w:type="dxa"/>
            <w:shd w:val="clear" w:color="auto" w:fill="FFFFFF"/>
            <w:vAlign w:val="center"/>
          </w:tcPr>
          <w:p w14:paraId="2621090C">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rPr>
              <w:t>指标说明</w:t>
            </w:r>
          </w:p>
        </w:tc>
        <w:tc>
          <w:tcPr>
            <w:tcW w:w="1304" w:type="dxa"/>
            <w:gridSpan w:val="2"/>
            <w:shd w:val="clear" w:color="auto" w:fill="FFFFFF"/>
            <w:vAlign w:val="center"/>
          </w:tcPr>
          <w:p w14:paraId="6D7FE87E">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rPr>
              <w:t>权重</w:t>
            </w:r>
          </w:p>
        </w:tc>
        <w:tc>
          <w:tcPr>
            <w:tcW w:w="1365" w:type="dxa"/>
            <w:shd w:val="clear" w:color="auto" w:fill="FFFFFF"/>
            <w:vAlign w:val="center"/>
          </w:tcPr>
          <w:p w14:paraId="1A8B7563">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rPr>
              <w:t>得分</w:t>
            </w:r>
          </w:p>
        </w:tc>
      </w:tr>
      <w:tr w14:paraId="129115B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919" w:hRule="atLeast"/>
          <w:jc w:val="center"/>
        </w:trPr>
        <w:tc>
          <w:tcPr>
            <w:tcW w:w="1002" w:type="dxa"/>
            <w:vMerge w:val="restart"/>
            <w:shd w:val="clear" w:color="auto" w:fill="FFFFFF"/>
            <w:vAlign w:val="center"/>
          </w:tcPr>
          <w:p w14:paraId="32B112BC">
            <w:pPr>
              <w:widowControl/>
              <w:spacing w:line="0" w:lineRule="atLeast"/>
              <w:jc w:val="center"/>
              <w:rPr>
                <w:rFonts w:hint="default" w:ascii="Times New Roman" w:hAnsi="Times New Roman" w:eastAsia="仿宋_GB2312" w:cs="Times New Roman"/>
                <w:color w:val="000000"/>
                <w:kern w:val="0"/>
                <w:sz w:val="18"/>
                <w:szCs w:val="18"/>
              </w:rPr>
            </w:pPr>
          </w:p>
          <w:p w14:paraId="1048BF43">
            <w:pPr>
              <w:widowControl/>
              <w:spacing w:line="0" w:lineRule="atLeast"/>
              <w:jc w:val="center"/>
              <w:rPr>
                <w:rFonts w:hint="default" w:ascii="Times New Roman" w:hAnsi="Times New Roman" w:eastAsia="仿宋_GB2312" w:cs="Times New Roman"/>
                <w:color w:val="000000"/>
                <w:kern w:val="0"/>
                <w:sz w:val="18"/>
                <w:szCs w:val="18"/>
              </w:rPr>
            </w:pPr>
          </w:p>
          <w:p w14:paraId="1EB145B3">
            <w:pPr>
              <w:widowControl/>
              <w:spacing w:line="0" w:lineRule="atLeast"/>
              <w:jc w:val="center"/>
              <w:rPr>
                <w:rFonts w:hint="default" w:ascii="Times New Roman" w:hAnsi="Times New Roman" w:eastAsia="仿宋_GB2312" w:cs="Times New Roman"/>
                <w:color w:val="000000"/>
                <w:kern w:val="0"/>
                <w:sz w:val="18"/>
                <w:szCs w:val="18"/>
              </w:rPr>
            </w:pPr>
          </w:p>
          <w:p w14:paraId="76201F4D">
            <w:pPr>
              <w:widowControl/>
              <w:spacing w:line="0" w:lineRule="atLeast"/>
              <w:jc w:val="center"/>
              <w:rPr>
                <w:rFonts w:hint="default" w:ascii="Times New Roman" w:hAnsi="Times New Roman" w:eastAsia="仿宋_GB2312" w:cs="Times New Roman"/>
                <w:color w:val="000000"/>
                <w:kern w:val="0"/>
                <w:sz w:val="18"/>
                <w:szCs w:val="18"/>
              </w:rPr>
            </w:pPr>
          </w:p>
          <w:p w14:paraId="29B747ED">
            <w:pPr>
              <w:widowControl/>
              <w:spacing w:line="0" w:lineRule="atLeast"/>
              <w:jc w:val="center"/>
              <w:rPr>
                <w:rFonts w:hint="default" w:ascii="Times New Roman" w:hAnsi="Times New Roman" w:eastAsia="仿宋_GB2312" w:cs="Times New Roman"/>
                <w:color w:val="000000"/>
                <w:kern w:val="0"/>
                <w:sz w:val="18"/>
                <w:szCs w:val="18"/>
              </w:rPr>
            </w:pPr>
          </w:p>
          <w:p w14:paraId="1C72CBFA">
            <w:pPr>
              <w:widowControl/>
              <w:spacing w:line="0" w:lineRule="atLeast"/>
              <w:jc w:val="center"/>
              <w:rPr>
                <w:rFonts w:hint="default" w:ascii="Times New Roman" w:hAnsi="Times New Roman" w:eastAsia="仿宋_GB2312" w:cs="Times New Roman"/>
                <w:color w:val="000000"/>
                <w:kern w:val="0"/>
                <w:sz w:val="18"/>
                <w:szCs w:val="18"/>
              </w:rPr>
            </w:pPr>
          </w:p>
          <w:p w14:paraId="16F18EAC">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rPr>
              <w:t>决策　</w:t>
            </w:r>
          </w:p>
        </w:tc>
        <w:tc>
          <w:tcPr>
            <w:tcW w:w="1000" w:type="dxa"/>
            <w:vMerge w:val="restart"/>
            <w:shd w:val="clear" w:color="auto" w:fill="FFFFFF"/>
            <w:vAlign w:val="center"/>
          </w:tcPr>
          <w:p w14:paraId="681BA1E7">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rPr>
              <w:t>项目立项　</w:t>
            </w:r>
          </w:p>
        </w:tc>
        <w:tc>
          <w:tcPr>
            <w:tcW w:w="1071" w:type="dxa"/>
            <w:shd w:val="clear" w:color="auto" w:fill="FFFFFF"/>
            <w:vAlign w:val="center"/>
          </w:tcPr>
          <w:p w14:paraId="39E2A0A0">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立项依据</w:t>
            </w:r>
          </w:p>
          <w:p w14:paraId="63351F8C">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rPr>
              <w:t>充分性</w:t>
            </w:r>
          </w:p>
        </w:tc>
        <w:tc>
          <w:tcPr>
            <w:tcW w:w="1725" w:type="dxa"/>
            <w:shd w:val="clear" w:color="auto" w:fill="FFFFFF"/>
            <w:vAlign w:val="center"/>
          </w:tcPr>
          <w:p w14:paraId="16156A53">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rPr>
              <w:t>项目立项是否符合法律法规、相关政策、发展规划以及部门职责，用以反映和考核项目立项依据情况。</w:t>
            </w:r>
          </w:p>
        </w:tc>
        <w:tc>
          <w:tcPr>
            <w:tcW w:w="5216" w:type="dxa"/>
            <w:shd w:val="clear" w:color="auto" w:fill="FFFFFF"/>
            <w:vAlign w:val="center"/>
          </w:tcPr>
          <w:p w14:paraId="2CD71529">
            <w:pPr>
              <w:widowControl/>
              <w:spacing w:line="0" w:lineRule="atLeast"/>
              <w:jc w:val="lef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评价要点：</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①项目立项是否符合国家法律法规、国民经济发展规划和相关政策；</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②项目立项是否符合行业发展规划和政策要求；</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③项目立项是否与部门职责范围相符，属于部门履职所需；</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④项目是否属于公共财政支持范围，是否符合中央、地方事权支出责任划分原则；</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⑤项目是否与相关部门同类项目或部门内部相关项目重复。</w:t>
            </w:r>
          </w:p>
        </w:tc>
        <w:tc>
          <w:tcPr>
            <w:tcW w:w="1304" w:type="dxa"/>
            <w:gridSpan w:val="2"/>
            <w:shd w:val="clear" w:color="auto" w:fill="FFFFFF"/>
            <w:vAlign w:val="center"/>
          </w:tcPr>
          <w:p w14:paraId="408C277F">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3</w:t>
            </w:r>
          </w:p>
        </w:tc>
        <w:tc>
          <w:tcPr>
            <w:tcW w:w="1365" w:type="dxa"/>
            <w:shd w:val="clear" w:color="auto" w:fill="FFFFFF"/>
            <w:vAlign w:val="center"/>
          </w:tcPr>
          <w:p w14:paraId="40FBFA34">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3</w:t>
            </w:r>
          </w:p>
        </w:tc>
      </w:tr>
      <w:tr w14:paraId="0A96534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90" w:hRule="atLeast"/>
          <w:jc w:val="center"/>
        </w:trPr>
        <w:tc>
          <w:tcPr>
            <w:tcW w:w="1002" w:type="dxa"/>
            <w:vMerge w:val="continue"/>
            <w:shd w:val="clear" w:color="auto" w:fill="FFFFFF"/>
            <w:vAlign w:val="center"/>
          </w:tcPr>
          <w:p w14:paraId="20870515">
            <w:pPr>
              <w:spacing w:line="0" w:lineRule="atLeast"/>
              <w:jc w:val="center"/>
              <w:rPr>
                <w:rFonts w:hint="default" w:ascii="Times New Roman" w:hAnsi="Times New Roman" w:eastAsia="仿宋_GB2312" w:cs="Times New Roman"/>
                <w:color w:val="000000"/>
                <w:kern w:val="0"/>
                <w:sz w:val="18"/>
                <w:szCs w:val="18"/>
                <w:highlight w:val="none"/>
              </w:rPr>
            </w:pPr>
          </w:p>
        </w:tc>
        <w:tc>
          <w:tcPr>
            <w:tcW w:w="1000" w:type="dxa"/>
            <w:vMerge w:val="continue"/>
            <w:shd w:val="clear" w:color="auto" w:fill="FFFFFF"/>
            <w:vAlign w:val="center"/>
          </w:tcPr>
          <w:p w14:paraId="6C9F2090">
            <w:pPr>
              <w:widowControl/>
              <w:spacing w:line="0" w:lineRule="atLeast"/>
              <w:jc w:val="center"/>
              <w:rPr>
                <w:rFonts w:hint="default" w:ascii="Times New Roman" w:hAnsi="Times New Roman" w:eastAsia="仿宋_GB2312" w:cs="Times New Roman"/>
                <w:color w:val="000000"/>
                <w:kern w:val="0"/>
                <w:sz w:val="18"/>
                <w:szCs w:val="18"/>
                <w:highlight w:val="none"/>
              </w:rPr>
            </w:pPr>
          </w:p>
        </w:tc>
        <w:tc>
          <w:tcPr>
            <w:tcW w:w="1071" w:type="dxa"/>
            <w:shd w:val="clear" w:color="auto" w:fill="FFFFFF"/>
            <w:vAlign w:val="center"/>
          </w:tcPr>
          <w:p w14:paraId="09784EC1">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立项程序</w:t>
            </w:r>
          </w:p>
          <w:p w14:paraId="63DA8420">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rPr>
              <w:t>规范性</w:t>
            </w:r>
          </w:p>
        </w:tc>
        <w:tc>
          <w:tcPr>
            <w:tcW w:w="1725" w:type="dxa"/>
            <w:shd w:val="clear" w:color="auto" w:fill="FFFFFF"/>
            <w:vAlign w:val="center"/>
          </w:tcPr>
          <w:p w14:paraId="75377053">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rPr>
              <w:t>项目申请、设立过程是否符合相关要求，用以反映和考核项目立项的规范情况。</w:t>
            </w:r>
          </w:p>
        </w:tc>
        <w:tc>
          <w:tcPr>
            <w:tcW w:w="5216" w:type="dxa"/>
            <w:shd w:val="clear" w:color="auto" w:fill="FFFFFF"/>
            <w:vAlign w:val="center"/>
          </w:tcPr>
          <w:p w14:paraId="6767EF95">
            <w:pPr>
              <w:widowControl/>
              <w:spacing w:line="0" w:lineRule="atLeast"/>
              <w:jc w:val="lef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评价要点：</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①项目是否按照规定的程序申请设立；</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②审批文件、材料是否符合相关要求；</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③事前是否已经过必要的可行性研究、专家论证、风险评估、绩效评估、集体决策。</w:t>
            </w:r>
          </w:p>
        </w:tc>
        <w:tc>
          <w:tcPr>
            <w:tcW w:w="1304" w:type="dxa"/>
            <w:gridSpan w:val="2"/>
            <w:shd w:val="clear" w:color="auto" w:fill="FFFFFF"/>
            <w:vAlign w:val="center"/>
          </w:tcPr>
          <w:p w14:paraId="3C170E70">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3</w:t>
            </w:r>
          </w:p>
        </w:tc>
        <w:tc>
          <w:tcPr>
            <w:tcW w:w="1365" w:type="dxa"/>
            <w:shd w:val="clear" w:color="auto" w:fill="FFFFFF"/>
            <w:vAlign w:val="center"/>
          </w:tcPr>
          <w:p w14:paraId="1809E0E2">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3</w:t>
            </w:r>
          </w:p>
        </w:tc>
      </w:tr>
      <w:tr w14:paraId="4F7CB1B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90" w:hRule="atLeast"/>
          <w:jc w:val="center"/>
        </w:trPr>
        <w:tc>
          <w:tcPr>
            <w:tcW w:w="1002" w:type="dxa"/>
            <w:vMerge w:val="continue"/>
            <w:shd w:val="clear" w:color="auto" w:fill="FFFFFF"/>
            <w:vAlign w:val="center"/>
          </w:tcPr>
          <w:p w14:paraId="2250C9D2">
            <w:pPr>
              <w:spacing w:line="0" w:lineRule="atLeast"/>
              <w:jc w:val="center"/>
              <w:rPr>
                <w:rFonts w:hint="default" w:ascii="Times New Roman" w:hAnsi="Times New Roman" w:eastAsia="仿宋_GB2312" w:cs="Times New Roman"/>
                <w:color w:val="000000"/>
                <w:kern w:val="0"/>
                <w:sz w:val="18"/>
                <w:szCs w:val="18"/>
                <w:highlight w:val="none"/>
              </w:rPr>
            </w:pPr>
          </w:p>
        </w:tc>
        <w:tc>
          <w:tcPr>
            <w:tcW w:w="1000" w:type="dxa"/>
            <w:vMerge w:val="restart"/>
            <w:shd w:val="clear" w:color="auto" w:fill="FFFFFF"/>
            <w:vAlign w:val="center"/>
          </w:tcPr>
          <w:p w14:paraId="65BCBEF6">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rPr>
              <w:t>绩效目标　</w:t>
            </w:r>
          </w:p>
        </w:tc>
        <w:tc>
          <w:tcPr>
            <w:tcW w:w="1071" w:type="dxa"/>
            <w:shd w:val="clear" w:color="auto" w:fill="FFFFFF"/>
            <w:vAlign w:val="center"/>
          </w:tcPr>
          <w:p w14:paraId="6D5CBB07">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绩效目标</w:t>
            </w:r>
          </w:p>
          <w:p w14:paraId="53D9C4E2">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rPr>
              <w:t>合理性</w:t>
            </w:r>
          </w:p>
        </w:tc>
        <w:tc>
          <w:tcPr>
            <w:tcW w:w="1725" w:type="dxa"/>
            <w:shd w:val="clear" w:color="000000" w:fill="FFFFFF"/>
            <w:vAlign w:val="center"/>
          </w:tcPr>
          <w:p w14:paraId="6647425B">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rPr>
              <w:t>项目所设定的绩效目标是否依据充分，是否符合客观实际，用以反映和考核项目绩效目标与项目实施的相符情况。</w:t>
            </w:r>
          </w:p>
        </w:tc>
        <w:tc>
          <w:tcPr>
            <w:tcW w:w="5216" w:type="dxa"/>
            <w:shd w:val="clear" w:color="000000" w:fill="FFFFFF"/>
            <w:vAlign w:val="center"/>
          </w:tcPr>
          <w:p w14:paraId="6EF0F489">
            <w:pPr>
              <w:widowControl/>
              <w:spacing w:line="0" w:lineRule="atLeast"/>
              <w:jc w:val="lef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评价要点：</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（如未设定预算绩效目标，也可考核其他工作任务目标）</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①项目是否有绩效目标；</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②项目绩效目标与实际工作内容是否具有相关性；</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③项目预期产出效益和效果是否符合正常的业绩水平；</w:t>
            </w:r>
          </w:p>
          <w:p w14:paraId="13F1E8C6">
            <w:pPr>
              <w:widowControl/>
              <w:spacing w:line="0" w:lineRule="atLeast"/>
              <w:jc w:val="lef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④是否与预算确定的项目投资额或资金量相匹配。</w:t>
            </w:r>
          </w:p>
        </w:tc>
        <w:tc>
          <w:tcPr>
            <w:tcW w:w="1304" w:type="dxa"/>
            <w:gridSpan w:val="2"/>
            <w:shd w:val="clear" w:color="000000" w:fill="FFFFFF"/>
            <w:vAlign w:val="center"/>
          </w:tcPr>
          <w:p w14:paraId="5754019F">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3</w:t>
            </w:r>
          </w:p>
        </w:tc>
        <w:tc>
          <w:tcPr>
            <w:tcW w:w="1365" w:type="dxa"/>
            <w:shd w:val="clear" w:color="000000" w:fill="FFFFFF"/>
            <w:vAlign w:val="center"/>
          </w:tcPr>
          <w:p w14:paraId="0F30BF58">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3</w:t>
            </w:r>
          </w:p>
        </w:tc>
      </w:tr>
      <w:tr w14:paraId="321B0ED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64" w:hRule="atLeast"/>
          <w:jc w:val="center"/>
        </w:trPr>
        <w:tc>
          <w:tcPr>
            <w:tcW w:w="1002" w:type="dxa"/>
            <w:vMerge w:val="continue"/>
            <w:shd w:val="clear" w:color="auto" w:fill="FFFFFF"/>
            <w:vAlign w:val="center"/>
          </w:tcPr>
          <w:p w14:paraId="178E47FD">
            <w:pPr>
              <w:widowControl/>
              <w:spacing w:line="0" w:lineRule="atLeast"/>
              <w:jc w:val="center"/>
              <w:rPr>
                <w:rFonts w:hint="default" w:ascii="Times New Roman" w:hAnsi="Times New Roman" w:eastAsia="仿宋_GB2312" w:cs="Times New Roman"/>
                <w:color w:val="000000"/>
                <w:kern w:val="0"/>
                <w:sz w:val="18"/>
                <w:szCs w:val="18"/>
                <w:highlight w:val="none"/>
              </w:rPr>
            </w:pPr>
          </w:p>
        </w:tc>
        <w:tc>
          <w:tcPr>
            <w:tcW w:w="1000" w:type="dxa"/>
            <w:vMerge w:val="continue"/>
            <w:shd w:val="clear" w:color="auto" w:fill="FFFFFF"/>
            <w:vAlign w:val="center"/>
          </w:tcPr>
          <w:p w14:paraId="11E6EFC6">
            <w:pPr>
              <w:widowControl/>
              <w:spacing w:line="0" w:lineRule="atLeast"/>
              <w:jc w:val="center"/>
              <w:rPr>
                <w:rFonts w:hint="default" w:ascii="Times New Roman" w:hAnsi="Times New Roman" w:eastAsia="仿宋_GB2312" w:cs="Times New Roman"/>
                <w:color w:val="000000"/>
                <w:kern w:val="0"/>
                <w:sz w:val="18"/>
                <w:szCs w:val="18"/>
                <w:highlight w:val="none"/>
              </w:rPr>
            </w:pPr>
          </w:p>
        </w:tc>
        <w:tc>
          <w:tcPr>
            <w:tcW w:w="1071" w:type="dxa"/>
            <w:shd w:val="clear" w:color="auto" w:fill="FFFFFF"/>
            <w:vAlign w:val="center"/>
          </w:tcPr>
          <w:p w14:paraId="1BB3CB76">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绩效指标</w:t>
            </w:r>
          </w:p>
          <w:p w14:paraId="12C244B7">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明确性</w:t>
            </w:r>
          </w:p>
        </w:tc>
        <w:tc>
          <w:tcPr>
            <w:tcW w:w="1725" w:type="dxa"/>
            <w:shd w:val="clear" w:color="000000" w:fill="FFFFFF"/>
            <w:vAlign w:val="center"/>
          </w:tcPr>
          <w:p w14:paraId="7F9662B9">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依据绩效目标设定的绩效指标是否清晰、细化、可衡量等，用以反映和考核项目绩效目标的明细化情况。</w:t>
            </w:r>
          </w:p>
        </w:tc>
        <w:tc>
          <w:tcPr>
            <w:tcW w:w="5216" w:type="dxa"/>
            <w:shd w:val="clear" w:color="000000" w:fill="FFFFFF"/>
            <w:vAlign w:val="center"/>
          </w:tcPr>
          <w:p w14:paraId="3F140F07">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评价要点：</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①是否将项目绩效目标细化分解为具体的绩效指标；</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②是否通过清晰、可衡量的指标值予以体现；</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③是否与项目目标任务数或计划数相对应。</w:t>
            </w:r>
            <w:r>
              <w:rPr>
                <w:rFonts w:hint="default" w:ascii="Times New Roman" w:hAnsi="Times New Roman" w:eastAsia="仿宋_GB2312" w:cs="Times New Roman"/>
                <w:color w:val="000000"/>
                <w:kern w:val="0"/>
                <w:sz w:val="18"/>
                <w:szCs w:val="18"/>
                <w:highlight w:val="none"/>
              </w:rPr>
              <w:br w:type="textWrapping"/>
            </w:r>
          </w:p>
        </w:tc>
        <w:tc>
          <w:tcPr>
            <w:tcW w:w="1304" w:type="dxa"/>
            <w:gridSpan w:val="2"/>
            <w:shd w:val="clear" w:color="000000" w:fill="FFFFFF"/>
            <w:vAlign w:val="center"/>
          </w:tcPr>
          <w:p w14:paraId="6C25B356">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3</w:t>
            </w:r>
          </w:p>
        </w:tc>
        <w:tc>
          <w:tcPr>
            <w:tcW w:w="1365" w:type="dxa"/>
            <w:shd w:val="clear" w:color="000000" w:fill="FFFFFF"/>
            <w:vAlign w:val="center"/>
          </w:tcPr>
          <w:p w14:paraId="14F5EB28">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3</w:t>
            </w:r>
          </w:p>
        </w:tc>
      </w:tr>
      <w:tr w14:paraId="0DBC8E6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42" w:hRule="atLeast"/>
          <w:jc w:val="center"/>
        </w:trPr>
        <w:tc>
          <w:tcPr>
            <w:tcW w:w="1002" w:type="dxa"/>
            <w:vMerge w:val="continue"/>
            <w:shd w:val="clear" w:color="auto" w:fill="FFFFFF"/>
            <w:vAlign w:val="center"/>
          </w:tcPr>
          <w:p w14:paraId="7071ACBC">
            <w:pPr>
              <w:spacing w:line="0" w:lineRule="atLeast"/>
              <w:jc w:val="center"/>
              <w:rPr>
                <w:rFonts w:hint="default" w:ascii="Times New Roman" w:hAnsi="Times New Roman" w:eastAsia="仿宋_GB2312" w:cs="Times New Roman"/>
                <w:color w:val="000000"/>
                <w:kern w:val="0"/>
                <w:sz w:val="18"/>
                <w:szCs w:val="18"/>
                <w:highlight w:val="none"/>
              </w:rPr>
            </w:pPr>
          </w:p>
        </w:tc>
        <w:tc>
          <w:tcPr>
            <w:tcW w:w="1000" w:type="dxa"/>
            <w:vMerge w:val="restart"/>
            <w:shd w:val="clear" w:color="auto" w:fill="FFFFFF"/>
            <w:vAlign w:val="center"/>
          </w:tcPr>
          <w:p w14:paraId="12D56C33">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资金投入</w:t>
            </w:r>
          </w:p>
          <w:p w14:paraId="4A427852">
            <w:pPr>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rPr>
              <w:t>　</w:t>
            </w:r>
          </w:p>
        </w:tc>
        <w:tc>
          <w:tcPr>
            <w:tcW w:w="1071" w:type="dxa"/>
            <w:shd w:val="clear" w:color="auto" w:fill="FFFFFF"/>
            <w:vAlign w:val="center"/>
          </w:tcPr>
          <w:p w14:paraId="2F300FED">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预算编制</w:t>
            </w:r>
          </w:p>
          <w:p w14:paraId="1E6B03B0">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科学性</w:t>
            </w:r>
          </w:p>
        </w:tc>
        <w:tc>
          <w:tcPr>
            <w:tcW w:w="1725" w:type="dxa"/>
            <w:shd w:val="clear" w:color="auto" w:fill="FFFFFF"/>
            <w:vAlign w:val="center"/>
          </w:tcPr>
          <w:p w14:paraId="1FFA1884">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项目预算编制是否经过科学论证、有明确标准，资金额度与年度目标是否相适应，用以反映和考核项目预算编制的科学性、合理性情况。</w:t>
            </w:r>
          </w:p>
        </w:tc>
        <w:tc>
          <w:tcPr>
            <w:tcW w:w="5216" w:type="dxa"/>
            <w:shd w:val="clear" w:color="auto" w:fill="FFFFFF"/>
            <w:vAlign w:val="center"/>
          </w:tcPr>
          <w:p w14:paraId="73E28D2B">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评价要点：</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①预算编制是否经过科学论证；</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②预算内容与项目内容是否匹配；</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③预算额度测算依据是否充分，是否按照标准编制；</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④预算确定的项目投资额或资金量是否与工作任务相匹配。</w:t>
            </w:r>
          </w:p>
        </w:tc>
        <w:tc>
          <w:tcPr>
            <w:tcW w:w="1304" w:type="dxa"/>
            <w:gridSpan w:val="2"/>
            <w:shd w:val="clear" w:color="auto" w:fill="FFFFFF"/>
            <w:vAlign w:val="center"/>
          </w:tcPr>
          <w:p w14:paraId="2BE6A822">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4</w:t>
            </w:r>
          </w:p>
        </w:tc>
        <w:tc>
          <w:tcPr>
            <w:tcW w:w="1365" w:type="dxa"/>
            <w:shd w:val="clear" w:color="auto" w:fill="FFFFFF"/>
            <w:vAlign w:val="center"/>
          </w:tcPr>
          <w:p w14:paraId="6C351B09">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3</w:t>
            </w:r>
          </w:p>
        </w:tc>
      </w:tr>
      <w:tr w14:paraId="52B6CC7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06" w:hRule="atLeast"/>
          <w:jc w:val="center"/>
        </w:trPr>
        <w:tc>
          <w:tcPr>
            <w:tcW w:w="1002" w:type="dxa"/>
            <w:vMerge w:val="continue"/>
            <w:shd w:val="clear" w:color="auto" w:fill="FFFFFF"/>
            <w:vAlign w:val="center"/>
          </w:tcPr>
          <w:p w14:paraId="7803BEE0">
            <w:pPr>
              <w:widowControl/>
              <w:spacing w:line="0" w:lineRule="atLeast"/>
              <w:jc w:val="center"/>
              <w:rPr>
                <w:rFonts w:hint="default" w:ascii="Times New Roman" w:hAnsi="Times New Roman" w:eastAsia="仿宋_GB2312" w:cs="Times New Roman"/>
                <w:color w:val="000000"/>
                <w:kern w:val="0"/>
                <w:sz w:val="18"/>
                <w:szCs w:val="18"/>
                <w:highlight w:val="none"/>
              </w:rPr>
            </w:pPr>
          </w:p>
        </w:tc>
        <w:tc>
          <w:tcPr>
            <w:tcW w:w="1000" w:type="dxa"/>
            <w:vMerge w:val="continue"/>
            <w:shd w:val="clear" w:color="auto" w:fill="FFFFFF"/>
            <w:vAlign w:val="center"/>
          </w:tcPr>
          <w:p w14:paraId="302A38A8">
            <w:pPr>
              <w:widowControl/>
              <w:spacing w:line="0" w:lineRule="atLeast"/>
              <w:jc w:val="center"/>
              <w:rPr>
                <w:rFonts w:hint="default" w:ascii="Times New Roman" w:hAnsi="Times New Roman" w:eastAsia="仿宋_GB2312" w:cs="Times New Roman"/>
                <w:color w:val="000000"/>
                <w:kern w:val="0"/>
                <w:sz w:val="18"/>
                <w:szCs w:val="18"/>
                <w:highlight w:val="none"/>
              </w:rPr>
            </w:pPr>
          </w:p>
        </w:tc>
        <w:tc>
          <w:tcPr>
            <w:tcW w:w="1071" w:type="dxa"/>
            <w:shd w:val="clear" w:color="auto" w:fill="FFFFFF"/>
            <w:vAlign w:val="center"/>
          </w:tcPr>
          <w:p w14:paraId="335F56E5">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资金分配</w:t>
            </w:r>
          </w:p>
          <w:p w14:paraId="1E96C05E">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合理性</w:t>
            </w:r>
          </w:p>
        </w:tc>
        <w:tc>
          <w:tcPr>
            <w:tcW w:w="1725" w:type="dxa"/>
            <w:shd w:val="clear" w:color="auto" w:fill="FFFFFF"/>
            <w:vAlign w:val="center"/>
          </w:tcPr>
          <w:p w14:paraId="4007ABEF">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项目预算资金分配是否有测算依据，与补助单位或地方实际是否相适应，用以反映和考核项目预算资金分配的科学性、合理性情况。</w:t>
            </w:r>
          </w:p>
        </w:tc>
        <w:tc>
          <w:tcPr>
            <w:tcW w:w="5216" w:type="dxa"/>
            <w:shd w:val="clear" w:color="auto" w:fill="FFFFFF"/>
            <w:vAlign w:val="center"/>
          </w:tcPr>
          <w:p w14:paraId="2AE845AE">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评价要点：</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①预算资金分配依据是否充分；</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②资金分配额度是否合理，与项目单位或地方实际是否相适应。</w:t>
            </w:r>
          </w:p>
        </w:tc>
        <w:tc>
          <w:tcPr>
            <w:tcW w:w="1304" w:type="dxa"/>
            <w:gridSpan w:val="2"/>
            <w:shd w:val="clear" w:color="auto" w:fill="FFFFFF"/>
            <w:vAlign w:val="center"/>
          </w:tcPr>
          <w:p w14:paraId="25AF4F70">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4</w:t>
            </w:r>
          </w:p>
        </w:tc>
        <w:tc>
          <w:tcPr>
            <w:tcW w:w="1365" w:type="dxa"/>
            <w:shd w:val="clear" w:color="auto" w:fill="FFFFFF"/>
            <w:vAlign w:val="center"/>
          </w:tcPr>
          <w:p w14:paraId="6CE9B78D">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4</w:t>
            </w:r>
          </w:p>
        </w:tc>
      </w:tr>
      <w:tr w14:paraId="203F435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15" w:hRule="atLeast"/>
          <w:jc w:val="center"/>
        </w:trPr>
        <w:tc>
          <w:tcPr>
            <w:tcW w:w="1002" w:type="dxa"/>
            <w:vMerge w:val="restart"/>
            <w:shd w:val="clear" w:color="auto" w:fill="FFFFFF"/>
            <w:vAlign w:val="center"/>
          </w:tcPr>
          <w:p w14:paraId="41CD3301">
            <w:pPr>
              <w:spacing w:line="0" w:lineRule="atLeast"/>
              <w:jc w:val="center"/>
              <w:rPr>
                <w:rFonts w:hint="default" w:ascii="Times New Roman" w:hAnsi="Times New Roman" w:eastAsia="仿宋_GB2312" w:cs="Times New Roman"/>
                <w:color w:val="000000"/>
                <w:kern w:val="0"/>
                <w:sz w:val="18"/>
                <w:szCs w:val="18"/>
              </w:rPr>
            </w:pPr>
          </w:p>
          <w:p w14:paraId="57D8751B">
            <w:pPr>
              <w:spacing w:line="0" w:lineRule="atLeast"/>
              <w:jc w:val="center"/>
              <w:rPr>
                <w:rFonts w:hint="default" w:ascii="Times New Roman" w:hAnsi="Times New Roman" w:eastAsia="仿宋_GB2312" w:cs="Times New Roman"/>
                <w:color w:val="000000"/>
                <w:kern w:val="0"/>
                <w:sz w:val="18"/>
                <w:szCs w:val="18"/>
              </w:rPr>
            </w:pPr>
          </w:p>
          <w:p w14:paraId="2321A914">
            <w:pPr>
              <w:spacing w:line="0" w:lineRule="atLeast"/>
              <w:jc w:val="center"/>
              <w:rPr>
                <w:rFonts w:hint="default" w:ascii="Times New Roman" w:hAnsi="Times New Roman" w:eastAsia="仿宋_GB2312" w:cs="Times New Roman"/>
                <w:color w:val="000000"/>
                <w:kern w:val="0"/>
                <w:sz w:val="18"/>
                <w:szCs w:val="18"/>
              </w:rPr>
            </w:pPr>
          </w:p>
          <w:p w14:paraId="341424FF">
            <w:pPr>
              <w:spacing w:line="0" w:lineRule="atLeast"/>
              <w:jc w:val="center"/>
              <w:rPr>
                <w:rFonts w:hint="default" w:ascii="Times New Roman" w:hAnsi="Times New Roman" w:eastAsia="仿宋_GB2312" w:cs="Times New Roman"/>
                <w:color w:val="000000"/>
                <w:kern w:val="0"/>
                <w:sz w:val="18"/>
                <w:szCs w:val="18"/>
              </w:rPr>
            </w:pPr>
          </w:p>
          <w:p w14:paraId="01874A79">
            <w:pPr>
              <w:spacing w:line="0" w:lineRule="atLeast"/>
              <w:jc w:val="center"/>
              <w:rPr>
                <w:rFonts w:hint="default" w:ascii="Times New Roman" w:hAnsi="Times New Roman" w:eastAsia="仿宋_GB2312" w:cs="Times New Roman"/>
                <w:color w:val="000000"/>
                <w:kern w:val="0"/>
                <w:sz w:val="18"/>
                <w:szCs w:val="18"/>
              </w:rPr>
            </w:pPr>
          </w:p>
          <w:p w14:paraId="144DFBA9">
            <w:pPr>
              <w:spacing w:line="0" w:lineRule="atLeast"/>
              <w:jc w:val="center"/>
              <w:rPr>
                <w:rFonts w:hint="default" w:ascii="Times New Roman" w:hAnsi="Times New Roman" w:eastAsia="仿宋_GB2312" w:cs="Times New Roman"/>
                <w:color w:val="000000"/>
                <w:kern w:val="0"/>
                <w:sz w:val="18"/>
                <w:szCs w:val="18"/>
              </w:rPr>
            </w:pPr>
          </w:p>
          <w:p w14:paraId="122413FD">
            <w:pPr>
              <w:spacing w:line="0" w:lineRule="atLeast"/>
              <w:jc w:val="center"/>
              <w:rPr>
                <w:rFonts w:hint="default" w:ascii="Times New Roman" w:hAnsi="Times New Roman" w:eastAsia="仿宋_GB2312" w:cs="Times New Roman"/>
                <w:color w:val="000000"/>
                <w:kern w:val="0"/>
                <w:sz w:val="18"/>
                <w:szCs w:val="18"/>
              </w:rPr>
            </w:pPr>
          </w:p>
          <w:p w14:paraId="3C289A8F">
            <w:pPr>
              <w:spacing w:line="0" w:lineRule="atLeast"/>
              <w:jc w:val="center"/>
              <w:rPr>
                <w:rFonts w:hint="default" w:ascii="Times New Roman" w:hAnsi="Times New Roman" w:eastAsia="仿宋_GB2312" w:cs="Times New Roman"/>
                <w:color w:val="000000"/>
                <w:kern w:val="0"/>
                <w:sz w:val="18"/>
                <w:szCs w:val="18"/>
              </w:rPr>
            </w:pPr>
          </w:p>
          <w:p w14:paraId="01945D81">
            <w:pPr>
              <w:spacing w:line="0" w:lineRule="atLeast"/>
              <w:jc w:val="center"/>
              <w:rPr>
                <w:rFonts w:hint="default" w:ascii="Times New Roman" w:hAnsi="Times New Roman" w:eastAsia="仿宋_GB2312" w:cs="Times New Roman"/>
                <w:color w:val="000000"/>
                <w:kern w:val="0"/>
                <w:sz w:val="18"/>
                <w:szCs w:val="18"/>
              </w:rPr>
            </w:pPr>
          </w:p>
          <w:p w14:paraId="6EC5E376">
            <w:pPr>
              <w:spacing w:line="0" w:lineRule="atLeast"/>
              <w:jc w:val="center"/>
              <w:rPr>
                <w:rFonts w:hint="default" w:ascii="Times New Roman" w:hAnsi="Times New Roman" w:eastAsia="仿宋_GB2312" w:cs="Times New Roman"/>
                <w:color w:val="000000"/>
                <w:kern w:val="0"/>
                <w:sz w:val="18"/>
                <w:szCs w:val="18"/>
              </w:rPr>
            </w:pPr>
          </w:p>
          <w:p w14:paraId="4BD2F7B1">
            <w:pPr>
              <w:spacing w:line="0" w:lineRule="atLeast"/>
              <w:jc w:val="center"/>
              <w:rPr>
                <w:rFonts w:hint="default" w:ascii="Times New Roman" w:hAnsi="Times New Roman" w:eastAsia="仿宋_GB2312" w:cs="Times New Roman"/>
                <w:color w:val="000000"/>
                <w:kern w:val="0"/>
                <w:sz w:val="18"/>
                <w:szCs w:val="18"/>
              </w:rPr>
            </w:pPr>
          </w:p>
          <w:p w14:paraId="28E3CEB5">
            <w:pPr>
              <w:spacing w:line="0" w:lineRule="atLeast"/>
              <w:jc w:val="center"/>
              <w:rPr>
                <w:rFonts w:hint="default" w:ascii="Times New Roman" w:hAnsi="Times New Roman" w:eastAsia="仿宋_GB2312" w:cs="Times New Roman"/>
                <w:color w:val="000000"/>
                <w:kern w:val="0"/>
                <w:sz w:val="18"/>
                <w:szCs w:val="18"/>
              </w:rPr>
            </w:pPr>
          </w:p>
          <w:p w14:paraId="794C572C">
            <w:pPr>
              <w:spacing w:line="0" w:lineRule="atLeast"/>
              <w:jc w:val="center"/>
              <w:rPr>
                <w:rFonts w:hint="default" w:ascii="Times New Roman" w:hAnsi="Times New Roman" w:eastAsia="仿宋_GB2312" w:cs="Times New Roman"/>
                <w:color w:val="000000"/>
                <w:kern w:val="0"/>
                <w:sz w:val="18"/>
                <w:szCs w:val="18"/>
              </w:rPr>
            </w:pPr>
          </w:p>
          <w:p w14:paraId="3F3D0542">
            <w:pPr>
              <w:spacing w:line="0" w:lineRule="atLeast"/>
              <w:jc w:val="center"/>
              <w:rPr>
                <w:rFonts w:hint="default" w:ascii="Times New Roman" w:hAnsi="Times New Roman" w:eastAsia="仿宋_GB2312" w:cs="Times New Roman"/>
                <w:color w:val="000000"/>
                <w:kern w:val="0"/>
                <w:sz w:val="18"/>
                <w:szCs w:val="18"/>
              </w:rPr>
            </w:pPr>
          </w:p>
          <w:p w14:paraId="617211A3">
            <w:pPr>
              <w:spacing w:line="0" w:lineRule="atLeast"/>
              <w:jc w:val="center"/>
              <w:rPr>
                <w:rFonts w:hint="default" w:ascii="Times New Roman" w:hAnsi="Times New Roman" w:eastAsia="仿宋_GB2312" w:cs="Times New Roman"/>
                <w:color w:val="000000"/>
                <w:kern w:val="0"/>
                <w:sz w:val="18"/>
                <w:szCs w:val="18"/>
              </w:rPr>
            </w:pPr>
          </w:p>
          <w:p w14:paraId="33B543B2">
            <w:pPr>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过程</w:t>
            </w:r>
          </w:p>
          <w:p w14:paraId="79C13D93">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rPr>
              <w:t>　　</w:t>
            </w:r>
          </w:p>
        </w:tc>
        <w:tc>
          <w:tcPr>
            <w:tcW w:w="1000" w:type="dxa"/>
            <w:vMerge w:val="restart"/>
            <w:shd w:val="clear" w:color="auto" w:fill="FFFFFF"/>
            <w:vAlign w:val="center"/>
          </w:tcPr>
          <w:p w14:paraId="1B33A6B6">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rPr>
              <w:t>资金管理</w:t>
            </w:r>
          </w:p>
        </w:tc>
        <w:tc>
          <w:tcPr>
            <w:tcW w:w="1071" w:type="dxa"/>
            <w:shd w:val="clear" w:color="auto" w:fill="FFFFFF"/>
            <w:vAlign w:val="center"/>
          </w:tcPr>
          <w:p w14:paraId="06EB5DF2">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资金到位率</w:t>
            </w:r>
          </w:p>
        </w:tc>
        <w:tc>
          <w:tcPr>
            <w:tcW w:w="1725" w:type="dxa"/>
            <w:shd w:val="clear" w:color="000000" w:fill="FFFFFF"/>
            <w:vAlign w:val="center"/>
          </w:tcPr>
          <w:p w14:paraId="477EC3A1">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实际到位资金与预算资金的比率，用以反映和考核资金落实情况对项目实施的总体保障程度。</w:t>
            </w:r>
          </w:p>
        </w:tc>
        <w:tc>
          <w:tcPr>
            <w:tcW w:w="5216" w:type="dxa"/>
            <w:shd w:val="clear" w:color="000000" w:fill="FFFFFF"/>
            <w:vAlign w:val="center"/>
          </w:tcPr>
          <w:p w14:paraId="7CDE9E57">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资金到位率=（实际到位资金/预算资金）×100%。</w:t>
            </w:r>
          </w:p>
          <w:p w14:paraId="716F4131">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实际到位资金：一定时期（本年度或项目期）内落实到具体项目的资金。</w:t>
            </w:r>
          </w:p>
          <w:p w14:paraId="26CFA7C6">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预算资金：一定时期（本年度或项目期）内预算安排到具体项目的资金。</w:t>
            </w:r>
          </w:p>
        </w:tc>
        <w:tc>
          <w:tcPr>
            <w:tcW w:w="1304" w:type="dxa"/>
            <w:gridSpan w:val="2"/>
            <w:shd w:val="clear" w:color="000000" w:fill="FFFFFF"/>
            <w:vAlign w:val="center"/>
          </w:tcPr>
          <w:p w14:paraId="3C6068C1">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4</w:t>
            </w:r>
          </w:p>
        </w:tc>
        <w:tc>
          <w:tcPr>
            <w:tcW w:w="1365" w:type="dxa"/>
            <w:shd w:val="clear" w:color="000000" w:fill="FFFFFF"/>
            <w:vAlign w:val="center"/>
          </w:tcPr>
          <w:p w14:paraId="3C2D5313">
            <w:pPr>
              <w:widowControl/>
              <w:spacing w:line="0" w:lineRule="atLeast"/>
              <w:jc w:val="center"/>
              <w:rPr>
                <w:rFonts w:hint="eastAsia"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4</w:t>
            </w:r>
            <w:bookmarkStart w:id="3" w:name="_GoBack"/>
            <w:bookmarkEnd w:id="3"/>
          </w:p>
        </w:tc>
      </w:tr>
      <w:tr w14:paraId="4ECEC4E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320" w:hRule="atLeast"/>
          <w:jc w:val="center"/>
        </w:trPr>
        <w:tc>
          <w:tcPr>
            <w:tcW w:w="1002" w:type="dxa"/>
            <w:vMerge w:val="continue"/>
            <w:shd w:val="clear" w:color="auto" w:fill="FFFFFF"/>
            <w:vAlign w:val="center"/>
          </w:tcPr>
          <w:p w14:paraId="67CE9390">
            <w:pPr>
              <w:spacing w:line="0" w:lineRule="atLeast"/>
              <w:jc w:val="center"/>
              <w:rPr>
                <w:rFonts w:hint="default" w:ascii="Times New Roman" w:hAnsi="Times New Roman" w:eastAsia="仿宋_GB2312" w:cs="Times New Roman"/>
                <w:color w:val="000000"/>
                <w:kern w:val="0"/>
                <w:sz w:val="18"/>
                <w:szCs w:val="18"/>
                <w:highlight w:val="none"/>
              </w:rPr>
            </w:pPr>
          </w:p>
        </w:tc>
        <w:tc>
          <w:tcPr>
            <w:tcW w:w="1000" w:type="dxa"/>
            <w:vMerge w:val="continue"/>
            <w:shd w:val="clear" w:color="auto" w:fill="FFFFFF"/>
            <w:vAlign w:val="center"/>
          </w:tcPr>
          <w:p w14:paraId="5B903C65">
            <w:pPr>
              <w:spacing w:line="0" w:lineRule="atLeast"/>
              <w:jc w:val="center"/>
              <w:rPr>
                <w:rFonts w:hint="default" w:ascii="Times New Roman" w:hAnsi="Times New Roman" w:eastAsia="仿宋_GB2312" w:cs="Times New Roman"/>
                <w:color w:val="000000"/>
                <w:kern w:val="0"/>
                <w:sz w:val="18"/>
                <w:szCs w:val="18"/>
                <w:highlight w:val="none"/>
              </w:rPr>
            </w:pPr>
          </w:p>
        </w:tc>
        <w:tc>
          <w:tcPr>
            <w:tcW w:w="1071" w:type="dxa"/>
            <w:shd w:val="clear" w:color="auto" w:fill="FFFFFF"/>
            <w:vAlign w:val="center"/>
          </w:tcPr>
          <w:p w14:paraId="5A052E51">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预算执行率</w:t>
            </w:r>
          </w:p>
        </w:tc>
        <w:tc>
          <w:tcPr>
            <w:tcW w:w="1725" w:type="dxa"/>
            <w:shd w:val="clear" w:color="auto" w:fill="FFFFFF"/>
            <w:vAlign w:val="center"/>
          </w:tcPr>
          <w:p w14:paraId="13607FBB">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项目预算资金是否按照计划执行，用以反映或考核项目预算执行情况。</w:t>
            </w:r>
          </w:p>
        </w:tc>
        <w:tc>
          <w:tcPr>
            <w:tcW w:w="5216" w:type="dxa"/>
            <w:shd w:val="clear" w:color="auto" w:fill="FFFFFF"/>
            <w:vAlign w:val="center"/>
          </w:tcPr>
          <w:p w14:paraId="299CE8C2">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预算执行率=（实际支出资金/实际到位资金）×100%。</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实际支出资金：一定时期（本年度或项目期）内项目实际拨付的资金。</w:t>
            </w:r>
          </w:p>
        </w:tc>
        <w:tc>
          <w:tcPr>
            <w:tcW w:w="1304" w:type="dxa"/>
            <w:gridSpan w:val="2"/>
            <w:shd w:val="clear" w:color="auto" w:fill="FFFFFF"/>
            <w:vAlign w:val="center"/>
          </w:tcPr>
          <w:p w14:paraId="295912DA">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4</w:t>
            </w:r>
          </w:p>
        </w:tc>
        <w:tc>
          <w:tcPr>
            <w:tcW w:w="1365" w:type="dxa"/>
            <w:shd w:val="clear" w:color="auto" w:fill="FFFFFF"/>
            <w:vAlign w:val="center"/>
          </w:tcPr>
          <w:p w14:paraId="1629CDA0">
            <w:pPr>
              <w:widowControl/>
              <w:spacing w:line="0" w:lineRule="atLeast"/>
              <w:jc w:val="center"/>
              <w:rPr>
                <w:rFonts w:hint="default"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yellow"/>
                <w:lang w:val="en-US" w:eastAsia="zh-CN"/>
              </w:rPr>
              <w:t>3.54</w:t>
            </w:r>
          </w:p>
        </w:tc>
      </w:tr>
      <w:tr w14:paraId="5957CBD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1002" w:type="dxa"/>
            <w:vMerge w:val="continue"/>
            <w:shd w:val="clear" w:color="auto" w:fill="FFFFFF"/>
            <w:vAlign w:val="center"/>
          </w:tcPr>
          <w:p w14:paraId="28C3E503">
            <w:pPr>
              <w:spacing w:line="0" w:lineRule="atLeast"/>
              <w:jc w:val="center"/>
              <w:rPr>
                <w:rFonts w:hint="default" w:ascii="Times New Roman" w:hAnsi="Times New Roman" w:eastAsia="仿宋_GB2312" w:cs="Times New Roman"/>
                <w:color w:val="000000"/>
                <w:kern w:val="0"/>
                <w:sz w:val="18"/>
                <w:szCs w:val="18"/>
                <w:highlight w:val="none"/>
              </w:rPr>
            </w:pPr>
          </w:p>
        </w:tc>
        <w:tc>
          <w:tcPr>
            <w:tcW w:w="1000" w:type="dxa"/>
            <w:shd w:val="clear" w:color="auto" w:fill="FFFFFF"/>
            <w:vAlign w:val="center"/>
          </w:tcPr>
          <w:p w14:paraId="56002786">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rPr>
              <w:t>资金管理</w:t>
            </w:r>
          </w:p>
        </w:tc>
        <w:tc>
          <w:tcPr>
            <w:tcW w:w="1071" w:type="dxa"/>
            <w:shd w:val="clear" w:color="auto" w:fill="FFFFFF"/>
            <w:vAlign w:val="center"/>
          </w:tcPr>
          <w:p w14:paraId="25B68963">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资金使用</w:t>
            </w:r>
          </w:p>
          <w:p w14:paraId="4C574F95">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合规性</w:t>
            </w:r>
          </w:p>
        </w:tc>
        <w:tc>
          <w:tcPr>
            <w:tcW w:w="1725" w:type="dxa"/>
            <w:shd w:val="clear" w:color="000000" w:fill="FFFFFF"/>
            <w:vAlign w:val="center"/>
          </w:tcPr>
          <w:p w14:paraId="42E8BFF1">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项目资金使用是否符合相关的财务管理制度规定，用以反映和考核项目资金的规范运行情况。</w:t>
            </w:r>
          </w:p>
        </w:tc>
        <w:tc>
          <w:tcPr>
            <w:tcW w:w="5216" w:type="dxa"/>
            <w:shd w:val="clear" w:color="000000" w:fill="FFFFFF"/>
            <w:vAlign w:val="center"/>
          </w:tcPr>
          <w:p w14:paraId="77740C63">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评价要点：</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①是否符合国家财经法规和财务管理制度以及有关专项资金管理办法的规定；</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②资金的拨付是否有完整的审批程序和手续；</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③是否符合项目预算批复或合同规定的用途；</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④是否存在截留、挤占、挪用、虚列支出等情况。</w:t>
            </w:r>
          </w:p>
        </w:tc>
        <w:tc>
          <w:tcPr>
            <w:tcW w:w="1304" w:type="dxa"/>
            <w:gridSpan w:val="2"/>
            <w:shd w:val="clear" w:color="000000" w:fill="FFFFFF"/>
            <w:vAlign w:val="center"/>
          </w:tcPr>
          <w:p w14:paraId="7BE66BC3">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4</w:t>
            </w:r>
          </w:p>
        </w:tc>
        <w:tc>
          <w:tcPr>
            <w:tcW w:w="1365" w:type="dxa"/>
            <w:shd w:val="clear" w:color="000000" w:fill="FFFFFF"/>
            <w:vAlign w:val="center"/>
          </w:tcPr>
          <w:p w14:paraId="5E30870F">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4</w:t>
            </w:r>
          </w:p>
        </w:tc>
      </w:tr>
      <w:tr w14:paraId="717949C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97" w:hRule="atLeast"/>
          <w:jc w:val="center"/>
        </w:trPr>
        <w:tc>
          <w:tcPr>
            <w:tcW w:w="1002" w:type="dxa"/>
            <w:vMerge w:val="continue"/>
            <w:shd w:val="clear" w:color="auto" w:fill="FFFFFF"/>
            <w:vAlign w:val="center"/>
          </w:tcPr>
          <w:p w14:paraId="61E00C97">
            <w:pPr>
              <w:spacing w:line="0" w:lineRule="atLeast"/>
              <w:jc w:val="center"/>
              <w:rPr>
                <w:rFonts w:hint="default" w:ascii="Times New Roman" w:hAnsi="Times New Roman" w:eastAsia="仿宋_GB2312" w:cs="Times New Roman"/>
                <w:color w:val="000000"/>
                <w:kern w:val="0"/>
                <w:sz w:val="18"/>
                <w:szCs w:val="18"/>
                <w:highlight w:val="none"/>
              </w:rPr>
            </w:pPr>
          </w:p>
        </w:tc>
        <w:tc>
          <w:tcPr>
            <w:tcW w:w="1000" w:type="dxa"/>
            <w:vMerge w:val="restart"/>
            <w:shd w:val="clear" w:color="auto" w:fill="FFFFFF"/>
            <w:vAlign w:val="center"/>
          </w:tcPr>
          <w:p w14:paraId="6F24C974">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组织实施</w:t>
            </w:r>
          </w:p>
          <w:p w14:paraId="068555F4">
            <w:pPr>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rPr>
              <w:t>　</w:t>
            </w:r>
          </w:p>
        </w:tc>
        <w:tc>
          <w:tcPr>
            <w:tcW w:w="1071" w:type="dxa"/>
            <w:shd w:val="clear" w:color="auto" w:fill="FFFFFF"/>
            <w:vAlign w:val="center"/>
          </w:tcPr>
          <w:p w14:paraId="53666D90">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管理制度</w:t>
            </w:r>
          </w:p>
          <w:p w14:paraId="371C6AC8">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健全性</w:t>
            </w:r>
          </w:p>
        </w:tc>
        <w:tc>
          <w:tcPr>
            <w:tcW w:w="1725" w:type="dxa"/>
            <w:shd w:val="clear" w:color="000000" w:fill="FFFFFF"/>
            <w:vAlign w:val="center"/>
          </w:tcPr>
          <w:p w14:paraId="678540EA">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项目实施单位的财务和业务管理制度是否健全，用以反映和考核财务和业务管理制度对项目顺利实施的保障情况。</w:t>
            </w:r>
          </w:p>
        </w:tc>
        <w:tc>
          <w:tcPr>
            <w:tcW w:w="5216" w:type="dxa"/>
            <w:shd w:val="clear" w:color="000000" w:fill="FFFFFF"/>
            <w:vAlign w:val="center"/>
          </w:tcPr>
          <w:p w14:paraId="4A33B1CF">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评价要点：</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①是否已制定或具有相应的财务和业务管理制度；</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②财务和业务管理制度是否合法、合规、完整。</w:t>
            </w:r>
          </w:p>
        </w:tc>
        <w:tc>
          <w:tcPr>
            <w:tcW w:w="1304" w:type="dxa"/>
            <w:gridSpan w:val="2"/>
            <w:shd w:val="clear" w:color="000000" w:fill="FFFFFF"/>
            <w:vAlign w:val="center"/>
          </w:tcPr>
          <w:p w14:paraId="1876C7B6">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4</w:t>
            </w:r>
          </w:p>
        </w:tc>
        <w:tc>
          <w:tcPr>
            <w:tcW w:w="1365" w:type="dxa"/>
            <w:shd w:val="clear" w:color="000000" w:fill="FFFFFF"/>
            <w:vAlign w:val="center"/>
          </w:tcPr>
          <w:p w14:paraId="6242ACE4">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4</w:t>
            </w:r>
          </w:p>
        </w:tc>
      </w:tr>
      <w:tr w14:paraId="3AAE40D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69" w:hRule="atLeast"/>
          <w:jc w:val="center"/>
        </w:trPr>
        <w:tc>
          <w:tcPr>
            <w:tcW w:w="1002" w:type="dxa"/>
            <w:vMerge w:val="continue"/>
            <w:shd w:val="clear" w:color="auto" w:fill="FFFFFF"/>
            <w:vAlign w:val="center"/>
          </w:tcPr>
          <w:p w14:paraId="71D14F01">
            <w:pPr>
              <w:widowControl/>
              <w:spacing w:line="0" w:lineRule="atLeast"/>
              <w:jc w:val="center"/>
              <w:rPr>
                <w:rFonts w:hint="default" w:ascii="Times New Roman" w:hAnsi="Times New Roman" w:eastAsia="仿宋_GB2312" w:cs="Times New Roman"/>
                <w:color w:val="000000"/>
                <w:kern w:val="0"/>
                <w:sz w:val="18"/>
                <w:szCs w:val="18"/>
                <w:highlight w:val="none"/>
              </w:rPr>
            </w:pPr>
          </w:p>
        </w:tc>
        <w:tc>
          <w:tcPr>
            <w:tcW w:w="1000" w:type="dxa"/>
            <w:vMerge w:val="continue"/>
            <w:shd w:val="clear" w:color="auto" w:fill="FFFFFF"/>
            <w:vAlign w:val="center"/>
          </w:tcPr>
          <w:p w14:paraId="01B1FB37">
            <w:pPr>
              <w:widowControl/>
              <w:spacing w:line="0" w:lineRule="atLeast"/>
              <w:jc w:val="center"/>
              <w:rPr>
                <w:rFonts w:hint="default" w:ascii="Times New Roman" w:hAnsi="Times New Roman" w:eastAsia="仿宋_GB2312" w:cs="Times New Roman"/>
                <w:color w:val="000000"/>
                <w:kern w:val="0"/>
                <w:sz w:val="18"/>
                <w:szCs w:val="18"/>
                <w:highlight w:val="none"/>
              </w:rPr>
            </w:pPr>
          </w:p>
        </w:tc>
        <w:tc>
          <w:tcPr>
            <w:tcW w:w="1071" w:type="dxa"/>
            <w:shd w:val="clear" w:color="auto" w:fill="FFFFFF"/>
            <w:vAlign w:val="center"/>
          </w:tcPr>
          <w:p w14:paraId="4CB6275F">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制度执行</w:t>
            </w:r>
          </w:p>
          <w:p w14:paraId="3F8C9FF8">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有效性</w:t>
            </w:r>
          </w:p>
        </w:tc>
        <w:tc>
          <w:tcPr>
            <w:tcW w:w="1725" w:type="dxa"/>
            <w:shd w:val="clear" w:color="000000" w:fill="FFFFFF"/>
            <w:vAlign w:val="center"/>
          </w:tcPr>
          <w:p w14:paraId="39E81C3C">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项目实施是否符合相关管理规定，用以反映和考核相关管理制度的有效执行情况。</w:t>
            </w:r>
          </w:p>
        </w:tc>
        <w:tc>
          <w:tcPr>
            <w:tcW w:w="5216" w:type="dxa"/>
            <w:shd w:val="clear" w:color="000000" w:fill="FFFFFF"/>
            <w:vAlign w:val="center"/>
          </w:tcPr>
          <w:p w14:paraId="5FB22FA5">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评价要点：</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①是否遵守相关法律法规和相关管理规定；</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②项目调整及支出调整手续是否完备；</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③项目合同书、验收报告、技术鉴定等资料是否齐全并及时归档；</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④项目实施的人员条件、场地设备、信息支撑等是否落实到位。</w:t>
            </w:r>
          </w:p>
        </w:tc>
        <w:tc>
          <w:tcPr>
            <w:tcW w:w="1304" w:type="dxa"/>
            <w:gridSpan w:val="2"/>
            <w:shd w:val="clear" w:color="000000" w:fill="FFFFFF"/>
            <w:vAlign w:val="center"/>
          </w:tcPr>
          <w:p w14:paraId="30942EEE">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4</w:t>
            </w:r>
          </w:p>
        </w:tc>
        <w:tc>
          <w:tcPr>
            <w:tcW w:w="1365" w:type="dxa"/>
            <w:shd w:val="clear" w:color="000000" w:fill="FFFFFF"/>
            <w:vAlign w:val="center"/>
          </w:tcPr>
          <w:p w14:paraId="0AF75551">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4</w:t>
            </w:r>
          </w:p>
        </w:tc>
      </w:tr>
      <w:tr w14:paraId="50E584E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17" w:hRule="atLeast"/>
          <w:jc w:val="center"/>
        </w:trPr>
        <w:tc>
          <w:tcPr>
            <w:tcW w:w="1002" w:type="dxa"/>
            <w:vMerge w:val="restart"/>
            <w:shd w:val="clear" w:color="auto" w:fill="FFFFFF"/>
            <w:vAlign w:val="center"/>
          </w:tcPr>
          <w:p w14:paraId="22AE1827">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rPr>
              <w:t>产出</w:t>
            </w:r>
          </w:p>
        </w:tc>
        <w:tc>
          <w:tcPr>
            <w:tcW w:w="1000" w:type="dxa"/>
            <w:shd w:val="clear" w:color="auto" w:fill="FFFFFF"/>
            <w:vAlign w:val="center"/>
          </w:tcPr>
          <w:p w14:paraId="0671F128">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rPr>
              <w:t>产出数量</w:t>
            </w:r>
          </w:p>
        </w:tc>
        <w:tc>
          <w:tcPr>
            <w:tcW w:w="1071" w:type="dxa"/>
            <w:shd w:val="clear" w:color="auto" w:fill="FFFFFF"/>
            <w:vAlign w:val="center"/>
          </w:tcPr>
          <w:p w14:paraId="3EE3F377">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实际完成率</w:t>
            </w:r>
          </w:p>
        </w:tc>
        <w:tc>
          <w:tcPr>
            <w:tcW w:w="1725" w:type="dxa"/>
            <w:shd w:val="clear" w:color="000000" w:fill="FFFFFF"/>
            <w:vAlign w:val="center"/>
          </w:tcPr>
          <w:p w14:paraId="7BC6851D">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项目实施的实际产出数与计划产出数的比率，用以反映和考核项目产出数量目标的实现程度。</w:t>
            </w:r>
          </w:p>
        </w:tc>
        <w:tc>
          <w:tcPr>
            <w:tcW w:w="5216" w:type="dxa"/>
            <w:shd w:val="clear" w:color="000000" w:fill="FFFFFF"/>
            <w:vAlign w:val="center"/>
          </w:tcPr>
          <w:p w14:paraId="4E5ECD91">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实际完成率=（实际产出数/计划产出数）×100%。</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实际产出数：一定时期（本年度或项目期）内项目实际产出的产品或提供的服务数量。</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计划产出数：项目绩效目标确定的在一定时期（本年度或项目期）内计划产出的产品或提供的服务数量。</w:t>
            </w:r>
          </w:p>
        </w:tc>
        <w:tc>
          <w:tcPr>
            <w:tcW w:w="1304" w:type="dxa"/>
            <w:gridSpan w:val="2"/>
            <w:shd w:val="clear" w:color="000000" w:fill="FFFFFF"/>
            <w:vAlign w:val="center"/>
          </w:tcPr>
          <w:p w14:paraId="49F4A8D8">
            <w:pPr>
              <w:widowControl/>
              <w:spacing w:line="0" w:lineRule="atLeast"/>
              <w:jc w:val="center"/>
              <w:rPr>
                <w:rFonts w:hint="default" w:ascii="Times New Roman" w:hAnsi="Times New Roman" w:eastAsia="仿宋_GB2312" w:cs="Times New Roman"/>
                <w:b/>
                <w:bCs/>
                <w:color w:val="000000"/>
                <w:kern w:val="0"/>
                <w:sz w:val="18"/>
                <w:szCs w:val="18"/>
                <w:highlight w:val="none"/>
                <w:lang w:val="en-US" w:eastAsia="zh-CN"/>
              </w:rPr>
            </w:pPr>
            <w:r>
              <w:rPr>
                <w:rFonts w:hint="default" w:ascii="Times New Roman" w:hAnsi="Times New Roman" w:eastAsia="仿宋_GB2312" w:cs="Times New Roman"/>
                <w:b/>
                <w:bCs/>
                <w:color w:val="000000"/>
                <w:kern w:val="0"/>
                <w:sz w:val="18"/>
                <w:szCs w:val="18"/>
                <w:highlight w:val="none"/>
              </w:rPr>
              <w:t>10</w:t>
            </w:r>
          </w:p>
        </w:tc>
        <w:tc>
          <w:tcPr>
            <w:tcW w:w="1365" w:type="dxa"/>
            <w:shd w:val="clear" w:color="000000" w:fill="FFFFFF"/>
            <w:vAlign w:val="center"/>
          </w:tcPr>
          <w:p w14:paraId="4439FA73">
            <w:pPr>
              <w:widowControl/>
              <w:spacing w:line="0" w:lineRule="atLeast"/>
              <w:jc w:val="center"/>
              <w:rPr>
                <w:rFonts w:hint="default"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10</w:t>
            </w:r>
          </w:p>
        </w:tc>
      </w:tr>
      <w:tr w14:paraId="77F90AE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73" w:hRule="atLeast"/>
          <w:jc w:val="center"/>
        </w:trPr>
        <w:tc>
          <w:tcPr>
            <w:tcW w:w="1002" w:type="dxa"/>
            <w:vMerge w:val="continue"/>
            <w:shd w:val="clear" w:color="auto" w:fill="FFFFFF"/>
            <w:vAlign w:val="center"/>
          </w:tcPr>
          <w:p w14:paraId="5BCE9A21">
            <w:pPr>
              <w:widowControl/>
              <w:spacing w:line="0" w:lineRule="atLeast"/>
              <w:jc w:val="center"/>
              <w:rPr>
                <w:rFonts w:hint="default" w:ascii="Times New Roman" w:hAnsi="Times New Roman" w:eastAsia="仿宋_GB2312" w:cs="Times New Roman"/>
                <w:color w:val="000000"/>
                <w:kern w:val="0"/>
                <w:sz w:val="18"/>
                <w:szCs w:val="18"/>
                <w:highlight w:val="none"/>
              </w:rPr>
            </w:pPr>
          </w:p>
        </w:tc>
        <w:tc>
          <w:tcPr>
            <w:tcW w:w="1000" w:type="dxa"/>
            <w:shd w:val="clear" w:color="auto" w:fill="FFFFFF"/>
            <w:vAlign w:val="center"/>
          </w:tcPr>
          <w:p w14:paraId="39D6A6E1">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rPr>
              <w:t>产出质量</w:t>
            </w:r>
          </w:p>
        </w:tc>
        <w:tc>
          <w:tcPr>
            <w:tcW w:w="1071" w:type="dxa"/>
            <w:shd w:val="clear" w:color="auto" w:fill="FFFFFF"/>
            <w:vAlign w:val="center"/>
          </w:tcPr>
          <w:p w14:paraId="0A9D588A">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质量达标率</w:t>
            </w:r>
          </w:p>
        </w:tc>
        <w:tc>
          <w:tcPr>
            <w:tcW w:w="1725" w:type="dxa"/>
            <w:shd w:val="clear" w:color="000000" w:fill="FFFFFF"/>
            <w:vAlign w:val="center"/>
          </w:tcPr>
          <w:p w14:paraId="7B42C216">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项目完成的质量达标产出数与实际产出数的比率，用以反映和考核项目产出质量目标的实现程度。</w:t>
            </w:r>
          </w:p>
        </w:tc>
        <w:tc>
          <w:tcPr>
            <w:tcW w:w="5216" w:type="dxa"/>
            <w:shd w:val="clear" w:color="000000" w:fill="FFFFFF"/>
            <w:vAlign w:val="center"/>
          </w:tcPr>
          <w:p w14:paraId="62AFCAE7">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质量达标率=（质量达标产出数/实际产出数）×100%。</w:t>
            </w:r>
          </w:p>
          <w:p w14:paraId="62135F1F">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1304" w:type="dxa"/>
            <w:gridSpan w:val="2"/>
            <w:shd w:val="clear" w:color="000000" w:fill="FFFFFF"/>
            <w:vAlign w:val="center"/>
          </w:tcPr>
          <w:p w14:paraId="4B159D4F">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10</w:t>
            </w:r>
          </w:p>
        </w:tc>
        <w:tc>
          <w:tcPr>
            <w:tcW w:w="1365" w:type="dxa"/>
            <w:shd w:val="clear" w:color="000000" w:fill="FFFFFF"/>
            <w:vAlign w:val="center"/>
          </w:tcPr>
          <w:p w14:paraId="1B3D55D1">
            <w:pPr>
              <w:widowControl/>
              <w:spacing w:line="0" w:lineRule="atLeast"/>
              <w:jc w:val="center"/>
              <w:rPr>
                <w:rFonts w:hint="default"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10</w:t>
            </w:r>
          </w:p>
        </w:tc>
      </w:tr>
      <w:tr w14:paraId="7965014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506" w:hRule="atLeast"/>
          <w:jc w:val="center"/>
        </w:trPr>
        <w:tc>
          <w:tcPr>
            <w:tcW w:w="1002" w:type="dxa"/>
            <w:vMerge w:val="continue"/>
            <w:shd w:val="clear" w:color="auto" w:fill="FFFFFF"/>
            <w:vAlign w:val="center"/>
          </w:tcPr>
          <w:p w14:paraId="649C1FB4">
            <w:pPr>
              <w:spacing w:line="0" w:lineRule="atLeast"/>
              <w:jc w:val="center"/>
              <w:rPr>
                <w:rFonts w:hint="default" w:ascii="Times New Roman" w:hAnsi="Times New Roman" w:eastAsia="仿宋_GB2312" w:cs="Times New Roman"/>
                <w:color w:val="000000"/>
                <w:kern w:val="0"/>
                <w:sz w:val="18"/>
                <w:szCs w:val="18"/>
                <w:highlight w:val="none"/>
              </w:rPr>
            </w:pPr>
          </w:p>
        </w:tc>
        <w:tc>
          <w:tcPr>
            <w:tcW w:w="1000" w:type="dxa"/>
            <w:shd w:val="clear" w:color="auto" w:fill="FFFFFF"/>
            <w:vAlign w:val="center"/>
          </w:tcPr>
          <w:p w14:paraId="03E68070">
            <w:pPr>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rPr>
              <w:t>产出时效</w:t>
            </w:r>
          </w:p>
        </w:tc>
        <w:tc>
          <w:tcPr>
            <w:tcW w:w="1071" w:type="dxa"/>
            <w:shd w:val="clear" w:color="auto" w:fill="FFFFFF"/>
            <w:vAlign w:val="center"/>
          </w:tcPr>
          <w:p w14:paraId="0DA237BA">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完成及时性</w:t>
            </w:r>
          </w:p>
        </w:tc>
        <w:tc>
          <w:tcPr>
            <w:tcW w:w="1725" w:type="dxa"/>
            <w:shd w:val="clear" w:color="000000" w:fill="FFFFFF"/>
            <w:vAlign w:val="center"/>
          </w:tcPr>
          <w:p w14:paraId="1BEF6C3B">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项目实际完成时间与计划完成时间的比较，用以反映和考核项目产出时效目标的实现程度。</w:t>
            </w:r>
          </w:p>
        </w:tc>
        <w:tc>
          <w:tcPr>
            <w:tcW w:w="5216" w:type="dxa"/>
            <w:shd w:val="clear" w:color="000000" w:fill="FFFFFF"/>
            <w:vAlign w:val="center"/>
          </w:tcPr>
          <w:p w14:paraId="26454B45">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实际完成时间：项目实施单位完成该项目实际所耗用的时间。</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计划完成时间：按照项目实施计划或相关规定完成该项目所需的时间。</w:t>
            </w:r>
          </w:p>
        </w:tc>
        <w:tc>
          <w:tcPr>
            <w:tcW w:w="1304" w:type="dxa"/>
            <w:gridSpan w:val="2"/>
            <w:shd w:val="clear" w:color="000000" w:fill="FFFFFF"/>
            <w:vAlign w:val="center"/>
          </w:tcPr>
          <w:p w14:paraId="49965238">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10</w:t>
            </w:r>
          </w:p>
        </w:tc>
        <w:tc>
          <w:tcPr>
            <w:tcW w:w="1365" w:type="dxa"/>
            <w:shd w:val="clear" w:color="000000" w:fill="FFFFFF"/>
            <w:vAlign w:val="center"/>
          </w:tcPr>
          <w:p w14:paraId="27A35A5D">
            <w:pPr>
              <w:widowControl/>
              <w:spacing w:line="0" w:lineRule="atLeast"/>
              <w:jc w:val="center"/>
              <w:rPr>
                <w:rFonts w:hint="default"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8.75</w:t>
            </w:r>
          </w:p>
        </w:tc>
      </w:tr>
      <w:tr w14:paraId="3E9C236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1002" w:type="dxa"/>
            <w:vMerge w:val="continue"/>
            <w:shd w:val="clear" w:color="auto" w:fill="FFFFFF"/>
            <w:vAlign w:val="center"/>
          </w:tcPr>
          <w:p w14:paraId="6287728C">
            <w:pPr>
              <w:widowControl/>
              <w:spacing w:line="0" w:lineRule="atLeast"/>
              <w:jc w:val="center"/>
              <w:rPr>
                <w:rFonts w:hint="default" w:ascii="Times New Roman" w:hAnsi="Times New Roman" w:eastAsia="仿宋_GB2312" w:cs="Times New Roman"/>
                <w:color w:val="000000"/>
                <w:kern w:val="0"/>
                <w:sz w:val="18"/>
                <w:szCs w:val="18"/>
                <w:highlight w:val="none"/>
              </w:rPr>
            </w:pPr>
          </w:p>
        </w:tc>
        <w:tc>
          <w:tcPr>
            <w:tcW w:w="1000" w:type="dxa"/>
            <w:shd w:val="clear" w:color="auto" w:fill="FFFFFF"/>
            <w:vAlign w:val="center"/>
          </w:tcPr>
          <w:p w14:paraId="38043F47">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产出成本</w:t>
            </w:r>
          </w:p>
        </w:tc>
        <w:tc>
          <w:tcPr>
            <w:tcW w:w="1071" w:type="dxa"/>
            <w:shd w:val="clear" w:color="auto" w:fill="FFFFFF"/>
            <w:vAlign w:val="center"/>
          </w:tcPr>
          <w:p w14:paraId="20B1C601">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成本节约率</w:t>
            </w:r>
          </w:p>
        </w:tc>
        <w:tc>
          <w:tcPr>
            <w:tcW w:w="1725" w:type="dxa"/>
            <w:shd w:val="clear" w:color="000000" w:fill="FFFFFF"/>
            <w:vAlign w:val="center"/>
          </w:tcPr>
          <w:p w14:paraId="470F7C35">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完成项目计划工作目标的实际节约成本与计划成本的比率，用以反映和考核项目的成本节约程度。</w:t>
            </w:r>
          </w:p>
        </w:tc>
        <w:tc>
          <w:tcPr>
            <w:tcW w:w="5216" w:type="dxa"/>
            <w:shd w:val="clear" w:color="000000" w:fill="FFFFFF"/>
            <w:vAlign w:val="center"/>
          </w:tcPr>
          <w:p w14:paraId="7B4EE41D">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成本节约率=[（计划成本-实际成本）/计划成本]×100%。</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实际成本：项目实施单位如期、保质、保量完成既定工作目标实际所耗费的支出。</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计划成本：项目实施单位为完成工作目标计划安排的支出，一般以项目预算为参考。</w:t>
            </w:r>
          </w:p>
        </w:tc>
        <w:tc>
          <w:tcPr>
            <w:tcW w:w="1304" w:type="dxa"/>
            <w:gridSpan w:val="2"/>
            <w:shd w:val="clear" w:color="000000" w:fill="FFFFFF"/>
            <w:vAlign w:val="center"/>
          </w:tcPr>
          <w:p w14:paraId="5C137A50">
            <w:pPr>
              <w:widowControl/>
              <w:spacing w:line="0" w:lineRule="atLeast"/>
              <w:jc w:val="center"/>
              <w:rPr>
                <w:rFonts w:hint="default" w:ascii="Times New Roman" w:hAnsi="Times New Roman" w:eastAsia="仿宋_GB2312" w:cs="Times New Roman"/>
                <w:b/>
                <w:bCs/>
                <w:color w:val="000000"/>
                <w:kern w:val="0"/>
                <w:sz w:val="18"/>
                <w:szCs w:val="18"/>
                <w:highlight w:val="none"/>
                <w:lang w:val="en-US" w:eastAsia="zh-CN"/>
              </w:rPr>
            </w:pPr>
            <w:r>
              <w:rPr>
                <w:rFonts w:hint="default" w:ascii="Times New Roman" w:hAnsi="Times New Roman" w:eastAsia="仿宋_GB2312" w:cs="Times New Roman"/>
                <w:b/>
                <w:bCs/>
                <w:color w:val="000000"/>
                <w:kern w:val="0"/>
                <w:sz w:val="18"/>
                <w:szCs w:val="18"/>
                <w:highlight w:val="none"/>
              </w:rPr>
              <w:t>10</w:t>
            </w:r>
          </w:p>
        </w:tc>
        <w:tc>
          <w:tcPr>
            <w:tcW w:w="1365" w:type="dxa"/>
            <w:shd w:val="clear" w:color="000000" w:fill="FFFFFF"/>
            <w:vAlign w:val="center"/>
          </w:tcPr>
          <w:p w14:paraId="05D76853">
            <w:pPr>
              <w:widowControl/>
              <w:spacing w:line="0" w:lineRule="atLeast"/>
              <w:jc w:val="center"/>
              <w:rPr>
                <w:rFonts w:hint="default"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8.85</w:t>
            </w:r>
          </w:p>
        </w:tc>
      </w:tr>
      <w:tr w14:paraId="45ECF4F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889" w:hRule="atLeast"/>
          <w:jc w:val="center"/>
        </w:trPr>
        <w:tc>
          <w:tcPr>
            <w:tcW w:w="1002" w:type="dxa"/>
            <w:vMerge w:val="restart"/>
            <w:shd w:val="clear" w:color="auto" w:fill="FFFFFF"/>
            <w:vAlign w:val="center"/>
          </w:tcPr>
          <w:p w14:paraId="563F14E2">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rPr>
              <w:t>效益　</w:t>
            </w:r>
          </w:p>
        </w:tc>
        <w:tc>
          <w:tcPr>
            <w:tcW w:w="1000" w:type="dxa"/>
            <w:vMerge w:val="restart"/>
            <w:shd w:val="clear" w:color="auto" w:fill="FFFFFF"/>
            <w:vAlign w:val="center"/>
          </w:tcPr>
          <w:p w14:paraId="6DB81509">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rPr>
              <w:t>项目效益　</w:t>
            </w:r>
          </w:p>
        </w:tc>
        <w:tc>
          <w:tcPr>
            <w:tcW w:w="1071" w:type="dxa"/>
            <w:shd w:val="clear" w:color="auto" w:fill="FFFFFF"/>
            <w:vAlign w:val="center"/>
          </w:tcPr>
          <w:p w14:paraId="65EA0D21">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实施效益</w:t>
            </w:r>
          </w:p>
        </w:tc>
        <w:tc>
          <w:tcPr>
            <w:tcW w:w="1725" w:type="dxa"/>
            <w:shd w:val="clear" w:color="auto" w:fill="FFFFFF"/>
            <w:vAlign w:val="center"/>
          </w:tcPr>
          <w:p w14:paraId="0148832D">
            <w:pPr>
              <w:widowControl/>
              <w:spacing w:line="0" w:lineRule="atLeast"/>
              <w:jc w:val="lef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项目实施所产生的效益。</w:t>
            </w:r>
          </w:p>
        </w:tc>
        <w:tc>
          <w:tcPr>
            <w:tcW w:w="5216" w:type="dxa"/>
            <w:shd w:val="clear" w:color="auto" w:fill="FFFFFF"/>
            <w:vAlign w:val="center"/>
          </w:tcPr>
          <w:p w14:paraId="06A18B9C">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项目实施所产生的社会效益、经济效益、生态效益、可持续影响等。可根据项目实际情况有选择地设置和细化。</w:t>
            </w:r>
          </w:p>
        </w:tc>
        <w:tc>
          <w:tcPr>
            <w:tcW w:w="1304" w:type="dxa"/>
            <w:gridSpan w:val="2"/>
            <w:shd w:val="clear" w:color="auto" w:fill="FFFFFF"/>
            <w:vAlign w:val="center"/>
          </w:tcPr>
          <w:p w14:paraId="748EB63B">
            <w:pPr>
              <w:widowControl/>
              <w:spacing w:line="0" w:lineRule="atLeast"/>
              <w:jc w:val="center"/>
              <w:rPr>
                <w:rFonts w:hint="default" w:ascii="Times New Roman" w:hAnsi="Times New Roman" w:eastAsia="仿宋_GB2312" w:cs="Times New Roman"/>
                <w:b/>
                <w:bCs/>
                <w:color w:val="000000"/>
                <w:kern w:val="0"/>
                <w:sz w:val="18"/>
                <w:szCs w:val="18"/>
                <w:highlight w:val="none"/>
                <w:lang w:val="en-US" w:eastAsia="zh-CN"/>
              </w:rPr>
            </w:pPr>
            <w:r>
              <w:rPr>
                <w:rFonts w:hint="default" w:ascii="Times New Roman" w:hAnsi="Times New Roman" w:eastAsia="仿宋_GB2312" w:cs="Times New Roman"/>
                <w:b/>
                <w:bCs/>
                <w:color w:val="000000"/>
                <w:kern w:val="0"/>
                <w:sz w:val="18"/>
                <w:szCs w:val="18"/>
                <w:highlight w:val="none"/>
              </w:rPr>
              <w:t>10</w:t>
            </w:r>
          </w:p>
        </w:tc>
        <w:tc>
          <w:tcPr>
            <w:tcW w:w="1365" w:type="dxa"/>
            <w:shd w:val="clear" w:color="auto" w:fill="FFFFFF"/>
            <w:vAlign w:val="center"/>
          </w:tcPr>
          <w:p w14:paraId="0D940540">
            <w:pPr>
              <w:widowControl/>
              <w:spacing w:line="0" w:lineRule="atLeast"/>
              <w:jc w:val="center"/>
              <w:rPr>
                <w:rFonts w:hint="default"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10</w:t>
            </w:r>
          </w:p>
        </w:tc>
      </w:tr>
      <w:tr w14:paraId="7706A18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137" w:hRule="atLeast"/>
          <w:jc w:val="center"/>
        </w:trPr>
        <w:tc>
          <w:tcPr>
            <w:tcW w:w="1002" w:type="dxa"/>
            <w:vMerge w:val="continue"/>
            <w:shd w:val="clear" w:color="auto" w:fill="FFFFFF"/>
            <w:vAlign w:val="center"/>
          </w:tcPr>
          <w:p w14:paraId="697AFFA1">
            <w:pPr>
              <w:widowControl/>
              <w:spacing w:line="0" w:lineRule="atLeast"/>
              <w:jc w:val="center"/>
              <w:rPr>
                <w:rFonts w:hint="default" w:ascii="Times New Roman" w:hAnsi="Times New Roman" w:eastAsia="仿宋_GB2312" w:cs="Times New Roman"/>
                <w:color w:val="000000"/>
                <w:kern w:val="0"/>
                <w:sz w:val="18"/>
                <w:szCs w:val="18"/>
                <w:highlight w:val="none"/>
              </w:rPr>
            </w:pPr>
          </w:p>
        </w:tc>
        <w:tc>
          <w:tcPr>
            <w:tcW w:w="1000" w:type="dxa"/>
            <w:vMerge w:val="continue"/>
            <w:shd w:val="clear" w:color="auto" w:fill="FFFFFF"/>
            <w:vAlign w:val="center"/>
          </w:tcPr>
          <w:p w14:paraId="45BE5ED7">
            <w:pPr>
              <w:widowControl/>
              <w:spacing w:line="0" w:lineRule="atLeast"/>
              <w:jc w:val="center"/>
              <w:rPr>
                <w:rFonts w:hint="default" w:ascii="Times New Roman" w:hAnsi="Times New Roman" w:eastAsia="仿宋_GB2312" w:cs="Times New Roman"/>
                <w:color w:val="000000"/>
                <w:kern w:val="0"/>
                <w:sz w:val="18"/>
                <w:szCs w:val="18"/>
                <w:highlight w:val="none"/>
              </w:rPr>
            </w:pPr>
          </w:p>
        </w:tc>
        <w:tc>
          <w:tcPr>
            <w:tcW w:w="1071" w:type="dxa"/>
            <w:shd w:val="clear" w:color="auto" w:fill="FFFFFF"/>
            <w:vAlign w:val="center"/>
          </w:tcPr>
          <w:p w14:paraId="2CF7374D">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满意度</w:t>
            </w:r>
          </w:p>
        </w:tc>
        <w:tc>
          <w:tcPr>
            <w:tcW w:w="1725" w:type="dxa"/>
            <w:shd w:val="clear" w:color="000000" w:fill="FFFFFF"/>
            <w:vAlign w:val="center"/>
          </w:tcPr>
          <w:p w14:paraId="5D602BE0">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社会公众或服务对象对项目实施效果的满意程度。</w:t>
            </w:r>
          </w:p>
        </w:tc>
        <w:tc>
          <w:tcPr>
            <w:tcW w:w="5216" w:type="dxa"/>
            <w:shd w:val="clear" w:color="000000" w:fill="FFFFFF"/>
            <w:vAlign w:val="center"/>
          </w:tcPr>
          <w:p w14:paraId="29E80CB4">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社会公众或服务对象是指因该项目实施而受到影响的部门（单位）、群体或个人。一般采取社会调查的方式。</w:t>
            </w:r>
          </w:p>
        </w:tc>
        <w:tc>
          <w:tcPr>
            <w:tcW w:w="1304" w:type="dxa"/>
            <w:gridSpan w:val="2"/>
            <w:shd w:val="clear" w:color="000000" w:fill="FFFFFF"/>
            <w:vAlign w:val="center"/>
          </w:tcPr>
          <w:p w14:paraId="21448CE1">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10</w:t>
            </w:r>
          </w:p>
        </w:tc>
        <w:tc>
          <w:tcPr>
            <w:tcW w:w="1365" w:type="dxa"/>
            <w:shd w:val="clear" w:color="000000" w:fill="FFFFFF"/>
            <w:vAlign w:val="center"/>
          </w:tcPr>
          <w:p w14:paraId="1EA14BE9">
            <w:pPr>
              <w:widowControl/>
              <w:spacing w:line="0" w:lineRule="atLeast"/>
              <w:jc w:val="center"/>
              <w:rPr>
                <w:rFonts w:hint="default"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10</w:t>
            </w:r>
          </w:p>
        </w:tc>
      </w:tr>
      <w:tr w14:paraId="57697B9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93" w:hRule="atLeast"/>
          <w:jc w:val="center"/>
        </w:trPr>
        <w:tc>
          <w:tcPr>
            <w:tcW w:w="10019" w:type="dxa"/>
            <w:gridSpan w:val="6"/>
            <w:shd w:val="clear" w:color="auto" w:fill="FFFFFF"/>
            <w:vAlign w:val="center"/>
          </w:tcPr>
          <w:p w14:paraId="0FAC4131">
            <w:pPr>
              <w:widowControl/>
              <w:spacing w:line="0" w:lineRule="atLeast"/>
              <w:jc w:val="center"/>
              <w:rPr>
                <w:rFonts w:hint="eastAsia"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合计</w:t>
            </w:r>
          </w:p>
        </w:tc>
        <w:tc>
          <w:tcPr>
            <w:tcW w:w="1299" w:type="dxa"/>
            <w:shd w:val="clear" w:color="000000" w:fill="FFFFFF"/>
            <w:vAlign w:val="center"/>
          </w:tcPr>
          <w:p w14:paraId="346C92E8">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fldChar w:fldCharType="begin"/>
            </w:r>
            <w:r>
              <w:rPr>
                <w:rFonts w:hint="default" w:ascii="Times New Roman" w:hAnsi="Times New Roman" w:eastAsia="仿宋_GB2312" w:cs="Times New Roman"/>
                <w:b/>
                <w:bCs/>
                <w:color w:val="000000"/>
                <w:kern w:val="0"/>
                <w:sz w:val="18"/>
                <w:szCs w:val="18"/>
                <w:highlight w:val="none"/>
              </w:rPr>
              <w:instrText xml:space="preserve"> = sum(F2:F18) \* MERGEFORMAT </w:instrText>
            </w:r>
            <w:r>
              <w:rPr>
                <w:rFonts w:hint="default" w:ascii="Times New Roman" w:hAnsi="Times New Roman" w:eastAsia="仿宋_GB2312" w:cs="Times New Roman"/>
                <w:b/>
                <w:bCs/>
                <w:color w:val="000000"/>
                <w:kern w:val="0"/>
                <w:sz w:val="18"/>
                <w:szCs w:val="18"/>
                <w:highlight w:val="none"/>
              </w:rPr>
              <w:fldChar w:fldCharType="separate"/>
            </w:r>
            <w:r>
              <w:rPr>
                <w:rFonts w:hint="default" w:ascii="Times New Roman" w:hAnsi="Times New Roman" w:eastAsia="仿宋_GB2312" w:cs="Times New Roman"/>
                <w:b/>
                <w:bCs/>
                <w:color w:val="000000"/>
                <w:kern w:val="0"/>
                <w:sz w:val="18"/>
                <w:szCs w:val="18"/>
                <w:highlight w:val="none"/>
              </w:rPr>
              <w:t>100</w:t>
            </w:r>
            <w:r>
              <w:rPr>
                <w:rFonts w:hint="default" w:ascii="Times New Roman" w:hAnsi="Times New Roman" w:eastAsia="仿宋_GB2312" w:cs="Times New Roman"/>
                <w:b/>
                <w:bCs/>
                <w:color w:val="000000"/>
                <w:kern w:val="0"/>
                <w:sz w:val="18"/>
                <w:szCs w:val="18"/>
                <w:highlight w:val="none"/>
              </w:rPr>
              <w:fldChar w:fldCharType="end"/>
            </w:r>
          </w:p>
        </w:tc>
        <w:tc>
          <w:tcPr>
            <w:tcW w:w="1365" w:type="dxa"/>
            <w:shd w:val="clear" w:color="000000" w:fill="FFFFFF"/>
            <w:vAlign w:val="center"/>
          </w:tcPr>
          <w:p w14:paraId="023B967C">
            <w:pPr>
              <w:widowControl/>
              <w:spacing w:line="0" w:lineRule="atLeast"/>
              <w:jc w:val="center"/>
              <w:rPr>
                <w:rFonts w:hint="default"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97.14</w:t>
            </w:r>
          </w:p>
        </w:tc>
      </w:tr>
    </w:tbl>
    <w:p w14:paraId="7230D481">
      <w:pPr>
        <w:keepNext w:val="0"/>
        <w:keepLines w:val="0"/>
        <w:pageBreakBefore w:val="0"/>
        <w:kinsoku/>
        <w:wordWrap/>
        <w:overflowPunct/>
        <w:topLinePunct w:val="0"/>
        <w:autoSpaceDE/>
        <w:autoSpaceDN/>
        <w:bidi w:val="0"/>
        <w:adjustRightInd/>
        <w:snapToGrid/>
        <w:spacing w:line="500" w:lineRule="exact"/>
        <w:rPr>
          <w:rFonts w:hint="default" w:ascii="Times New Roman" w:hAnsi="Times New Roman" w:cs="Times New Roman"/>
          <w:highlight w:val="none"/>
        </w:rPr>
        <w:sectPr>
          <w:footerReference r:id="rId4" w:type="default"/>
          <w:pgSz w:w="16838" w:h="11906" w:orient="landscape"/>
          <w:pgMar w:top="1800" w:right="1440" w:bottom="1558" w:left="1440" w:header="851" w:footer="992" w:gutter="0"/>
          <w:cols w:space="425" w:num="1"/>
          <w:docGrid w:type="lines" w:linePitch="312" w:charSpace="0"/>
        </w:sectPr>
      </w:pPr>
    </w:p>
    <w:p w14:paraId="0C231060">
      <w:pPr>
        <w:keepNext w:val="0"/>
        <w:keepLines w:val="0"/>
        <w:pageBreakBefore w:val="0"/>
        <w:kinsoku/>
        <w:wordWrap/>
        <w:overflowPunct/>
        <w:topLinePunct w:val="0"/>
        <w:autoSpaceDE/>
        <w:autoSpaceDN/>
        <w:bidi w:val="0"/>
        <w:adjustRightInd/>
        <w:snapToGrid/>
        <w:spacing w:line="500" w:lineRule="exact"/>
        <w:rPr>
          <w:rFonts w:hint="eastAsia" w:eastAsia="黑体" w:cs="Times New Roman"/>
          <w:sz w:val="32"/>
          <w:szCs w:val="32"/>
          <w:highlight w:val="none"/>
          <w:lang w:val="en-US" w:eastAsia="zh-CN"/>
        </w:rPr>
      </w:pPr>
      <w:r>
        <w:rPr>
          <w:rFonts w:hint="eastAsia" w:ascii="Times New Roman" w:hAnsi="Times New Roman" w:eastAsia="黑体" w:cs="Times New Roman"/>
          <w:sz w:val="32"/>
          <w:szCs w:val="32"/>
          <w:highlight w:val="none"/>
          <w:lang w:val="en-US" w:eastAsia="zh-CN"/>
        </w:rPr>
        <w:t>附件</w:t>
      </w:r>
      <w:r>
        <w:rPr>
          <w:rFonts w:hint="eastAsia" w:eastAsia="黑体" w:cs="Times New Roman"/>
          <w:sz w:val="32"/>
          <w:szCs w:val="32"/>
          <w:highlight w:val="none"/>
          <w:lang w:val="en-US" w:eastAsia="zh-CN"/>
        </w:rPr>
        <w:t>2</w:t>
      </w:r>
    </w:p>
    <w:p w14:paraId="00C13BEE">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default" w:ascii="Times New Roman" w:hAnsi="Times New Roman" w:eastAsia="仿宋_GB2312" w:cs="Times New Roman"/>
          <w:b/>
          <w:bCs/>
          <w:i w:val="0"/>
          <w:iCs w:val="0"/>
          <w:color w:val="000000"/>
          <w:kern w:val="0"/>
          <w:sz w:val="22"/>
          <w:szCs w:val="22"/>
          <w:highlight w:val="none"/>
          <w:u w:val="none"/>
          <w:lang w:val="en-US" w:eastAsia="zh-CN" w:bidi="ar"/>
        </w:rPr>
      </w:pPr>
      <w:r>
        <w:rPr>
          <w:rFonts w:hint="default" w:ascii="Times New Roman" w:hAnsi="Times New Roman" w:eastAsia="仿宋_GB2312" w:cs="Times New Roman"/>
          <w:b/>
          <w:bCs/>
          <w:i w:val="0"/>
          <w:iCs w:val="0"/>
          <w:color w:val="000000"/>
          <w:kern w:val="0"/>
          <w:sz w:val="22"/>
          <w:szCs w:val="22"/>
          <w:highlight w:val="none"/>
          <w:u w:val="none"/>
          <w:lang w:val="en-US" w:eastAsia="zh-CN" w:bidi="ar"/>
        </w:rPr>
        <w:t>（ 2024年度）</w:t>
      </w:r>
    </w:p>
    <w:p w14:paraId="6510FDF5">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仿宋_GB2312" w:hAnsi="仿宋_GB2312" w:eastAsia="仿宋_GB2312" w:cs="仿宋_GB2312"/>
          <w:b/>
          <w:bCs/>
          <w:i w:val="0"/>
          <w:iCs w:val="0"/>
          <w:color w:val="000000"/>
          <w:kern w:val="0"/>
          <w:sz w:val="28"/>
          <w:szCs w:val="28"/>
          <w:highlight w:val="none"/>
          <w:u w:val="none"/>
          <w:lang w:val="en-US" w:eastAsia="zh-CN" w:bidi="ar"/>
        </w:rPr>
      </w:pPr>
      <w:r>
        <w:rPr>
          <w:rFonts w:hint="eastAsia" w:ascii="仿宋_GB2312" w:hAnsi="仿宋_GB2312" w:eastAsia="仿宋_GB2312" w:cs="仿宋_GB2312"/>
          <w:b/>
          <w:bCs/>
          <w:i w:val="0"/>
          <w:iCs w:val="0"/>
          <w:color w:val="000000"/>
          <w:kern w:val="0"/>
          <w:sz w:val="28"/>
          <w:szCs w:val="28"/>
          <w:highlight w:val="none"/>
          <w:u w:val="none"/>
          <w:lang w:val="en-US" w:eastAsia="zh-CN" w:bidi="ar"/>
        </w:rPr>
        <w:t>项目支出绩效自评表</w:t>
      </w:r>
    </w:p>
    <w:tbl>
      <w:tblPr>
        <w:tblStyle w:val="14"/>
        <w:tblpPr w:leftFromText="180" w:rightFromText="180" w:vertAnchor="text" w:horzAnchor="page" w:tblpX="1373" w:tblpY="306"/>
        <w:tblOverlap w:val="never"/>
        <w:tblW w:w="1417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917"/>
        <w:gridCol w:w="1292"/>
        <w:gridCol w:w="1312"/>
        <w:gridCol w:w="1032"/>
        <w:gridCol w:w="1140"/>
        <w:gridCol w:w="1164"/>
        <w:gridCol w:w="924"/>
        <w:gridCol w:w="837"/>
        <w:gridCol w:w="882"/>
        <w:gridCol w:w="777"/>
        <w:gridCol w:w="1032"/>
        <w:gridCol w:w="830"/>
        <w:gridCol w:w="748"/>
        <w:gridCol w:w="1287"/>
      </w:tblGrid>
      <w:tr w14:paraId="296A0F3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1" w:hRule="atLeast"/>
        </w:trPr>
        <w:tc>
          <w:tcPr>
            <w:tcW w:w="220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7663D56">
            <w:pPr>
              <w:keepNext w:val="0"/>
              <w:keepLines w:val="0"/>
              <w:pageBreakBefore w:val="0"/>
              <w:widowControl/>
              <w:suppressLineNumbers w:val="0"/>
              <w:kinsoku/>
              <w:wordWrap/>
              <w:overflowPunct/>
              <w:topLinePunct w:val="0"/>
              <w:autoSpaceDE/>
              <w:autoSpaceDN/>
              <w:bidi w:val="0"/>
              <w:adjustRightInd/>
              <w:snapToGrid/>
              <w:spacing w:line="380" w:lineRule="exact"/>
              <w:jc w:val="center"/>
              <w:textAlignment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kern w:val="0"/>
                <w:sz w:val="18"/>
                <w:szCs w:val="18"/>
                <w:highlight w:val="none"/>
                <w:u w:val="none"/>
                <w:lang w:val="en-US" w:eastAsia="zh-CN" w:bidi="ar"/>
              </w:rPr>
              <w:t>项目名称</w:t>
            </w:r>
          </w:p>
        </w:tc>
        <w:tc>
          <w:tcPr>
            <w:tcW w:w="11965" w:type="dxa"/>
            <w:gridSpan w:val="12"/>
            <w:tcBorders>
              <w:top w:val="single" w:color="000000" w:sz="4" w:space="0"/>
              <w:left w:val="single" w:color="000000" w:sz="4" w:space="0"/>
              <w:bottom w:val="single" w:color="000000" w:sz="4" w:space="0"/>
              <w:right w:val="single" w:color="000000" w:sz="4" w:space="0"/>
            </w:tcBorders>
            <w:shd w:val="clear" w:color="auto" w:fill="auto"/>
            <w:vAlign w:val="center"/>
          </w:tcPr>
          <w:p w14:paraId="7E14D8C6">
            <w:pPr>
              <w:keepNext w:val="0"/>
              <w:keepLines w:val="0"/>
              <w:pageBreakBefore w:val="0"/>
              <w:kinsoku/>
              <w:wordWrap/>
              <w:overflowPunct/>
              <w:topLinePunct w:val="0"/>
              <w:autoSpaceDE/>
              <w:autoSpaceDN/>
              <w:bidi w:val="0"/>
              <w:adjustRightInd/>
              <w:snapToGrid/>
              <w:spacing w:line="380" w:lineRule="exact"/>
              <w:jc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sz w:val="18"/>
                <w:szCs w:val="18"/>
                <w:highlight w:val="none"/>
                <w:u w:val="none"/>
              </w:rPr>
              <w:t>昌州财建（2023）135号关于提前下达2024年中央林业草原改革发展资金预算的投资</w:t>
            </w:r>
          </w:p>
        </w:tc>
      </w:tr>
      <w:tr w14:paraId="62D1E03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220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57B1805">
            <w:pPr>
              <w:keepNext w:val="0"/>
              <w:keepLines w:val="0"/>
              <w:pageBreakBefore w:val="0"/>
              <w:widowControl/>
              <w:suppressLineNumbers w:val="0"/>
              <w:kinsoku/>
              <w:wordWrap/>
              <w:overflowPunct/>
              <w:topLinePunct w:val="0"/>
              <w:autoSpaceDE/>
              <w:autoSpaceDN/>
              <w:bidi w:val="0"/>
              <w:adjustRightInd/>
              <w:snapToGrid/>
              <w:spacing w:line="380" w:lineRule="exact"/>
              <w:jc w:val="center"/>
              <w:textAlignment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kern w:val="0"/>
                <w:sz w:val="18"/>
                <w:szCs w:val="18"/>
                <w:highlight w:val="none"/>
                <w:u w:val="none"/>
                <w:lang w:val="en-US" w:eastAsia="zh-CN" w:bidi="ar"/>
              </w:rPr>
              <w:t>主管部门</w:t>
            </w:r>
          </w:p>
        </w:tc>
        <w:tc>
          <w:tcPr>
            <w:tcW w:w="5572"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4FD96E88">
            <w:pPr>
              <w:keepNext w:val="0"/>
              <w:keepLines w:val="0"/>
              <w:pageBreakBefore w:val="0"/>
              <w:kinsoku/>
              <w:wordWrap/>
              <w:overflowPunct/>
              <w:topLinePunct w:val="0"/>
              <w:autoSpaceDE/>
              <w:autoSpaceDN/>
              <w:bidi w:val="0"/>
              <w:adjustRightInd/>
              <w:snapToGrid/>
              <w:spacing w:line="380" w:lineRule="exact"/>
              <w:jc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sz w:val="18"/>
                <w:szCs w:val="18"/>
                <w:highlight w:val="none"/>
                <w:u w:val="none"/>
              </w:rPr>
              <w:t>奇台县林业和草原综合执法大队</w:t>
            </w:r>
          </w:p>
        </w:tc>
        <w:tc>
          <w:tcPr>
            <w:tcW w:w="171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57E4221">
            <w:pPr>
              <w:keepNext w:val="0"/>
              <w:keepLines w:val="0"/>
              <w:pageBreakBefore w:val="0"/>
              <w:widowControl/>
              <w:suppressLineNumbers w:val="0"/>
              <w:kinsoku/>
              <w:wordWrap/>
              <w:overflowPunct/>
              <w:topLinePunct w:val="0"/>
              <w:autoSpaceDE/>
              <w:autoSpaceDN/>
              <w:bidi w:val="0"/>
              <w:adjustRightInd/>
              <w:snapToGrid/>
              <w:spacing w:line="380" w:lineRule="exact"/>
              <w:jc w:val="center"/>
              <w:textAlignment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kern w:val="0"/>
                <w:sz w:val="18"/>
                <w:szCs w:val="18"/>
                <w:highlight w:val="none"/>
                <w:u w:val="none"/>
                <w:lang w:val="en-US" w:eastAsia="zh-CN" w:bidi="ar"/>
              </w:rPr>
              <w:t>实施单位</w:t>
            </w:r>
          </w:p>
        </w:tc>
        <w:tc>
          <w:tcPr>
            <w:tcW w:w="467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17B51CB4">
            <w:pPr>
              <w:keepNext w:val="0"/>
              <w:keepLines w:val="0"/>
              <w:pageBreakBefore w:val="0"/>
              <w:kinsoku/>
              <w:wordWrap/>
              <w:overflowPunct/>
              <w:topLinePunct w:val="0"/>
              <w:autoSpaceDE/>
              <w:autoSpaceDN/>
              <w:bidi w:val="0"/>
              <w:adjustRightInd/>
              <w:snapToGrid/>
              <w:spacing w:line="380" w:lineRule="exact"/>
              <w:jc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sz w:val="18"/>
                <w:szCs w:val="18"/>
                <w:highlight w:val="none"/>
                <w:u w:val="none"/>
              </w:rPr>
              <w:t>奇台县林业和草原综合执法大队</w:t>
            </w:r>
          </w:p>
        </w:tc>
      </w:tr>
      <w:tr w14:paraId="2AF8B0A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2209"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07C8A54">
            <w:pPr>
              <w:keepNext w:val="0"/>
              <w:keepLines w:val="0"/>
              <w:pageBreakBefore w:val="0"/>
              <w:widowControl/>
              <w:suppressLineNumbers w:val="0"/>
              <w:kinsoku/>
              <w:wordWrap/>
              <w:overflowPunct/>
              <w:topLinePunct w:val="0"/>
              <w:autoSpaceDE/>
              <w:autoSpaceDN/>
              <w:bidi w:val="0"/>
              <w:adjustRightInd/>
              <w:snapToGrid/>
              <w:spacing w:line="380" w:lineRule="exact"/>
              <w:jc w:val="center"/>
              <w:textAlignment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kern w:val="0"/>
                <w:sz w:val="18"/>
                <w:szCs w:val="18"/>
                <w:highlight w:val="none"/>
                <w:u w:val="none"/>
                <w:lang w:val="en-US" w:eastAsia="zh-CN" w:bidi="ar"/>
              </w:rPr>
              <w:t>项目资金</w:t>
            </w:r>
            <w:r>
              <w:rPr>
                <w:rFonts w:hint="eastAsia" w:ascii="仿宋_GB2312" w:hAnsi="仿宋_GB2312" w:eastAsia="仿宋_GB2312" w:cs="仿宋_GB2312"/>
                <w:i w:val="0"/>
                <w:iCs w:val="0"/>
                <w:color w:val="000000"/>
                <w:kern w:val="0"/>
                <w:sz w:val="18"/>
                <w:szCs w:val="18"/>
                <w:highlight w:val="none"/>
                <w:u w:val="none"/>
                <w:lang w:val="en-US" w:eastAsia="zh-CN" w:bidi="ar"/>
              </w:rPr>
              <w:br w:type="textWrapping"/>
            </w:r>
            <w:r>
              <w:rPr>
                <w:rFonts w:hint="eastAsia" w:ascii="仿宋_GB2312" w:hAnsi="仿宋_GB2312" w:eastAsia="仿宋_GB2312" w:cs="仿宋_GB2312"/>
                <w:i w:val="0"/>
                <w:iCs w:val="0"/>
                <w:color w:val="000000"/>
                <w:kern w:val="0"/>
                <w:sz w:val="18"/>
                <w:szCs w:val="18"/>
                <w:highlight w:val="none"/>
                <w:u w:val="none"/>
                <w:lang w:val="en-US" w:eastAsia="zh-CN" w:bidi="ar"/>
              </w:rPr>
              <w:t>（万元）</w:t>
            </w:r>
          </w:p>
        </w:tc>
        <w:tc>
          <w:tcPr>
            <w:tcW w:w="234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02EF6BA">
            <w:pPr>
              <w:keepNext w:val="0"/>
              <w:keepLines w:val="0"/>
              <w:pageBreakBefore w:val="0"/>
              <w:widowControl/>
              <w:suppressLineNumbers w:val="0"/>
              <w:kinsoku/>
              <w:wordWrap/>
              <w:overflowPunct/>
              <w:topLinePunct w:val="0"/>
              <w:autoSpaceDE/>
              <w:autoSpaceDN/>
              <w:bidi w:val="0"/>
              <w:adjustRightInd/>
              <w:snapToGrid/>
              <w:spacing w:line="380" w:lineRule="exact"/>
              <w:jc w:val="center"/>
              <w:textAlignment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kern w:val="0"/>
                <w:sz w:val="18"/>
                <w:szCs w:val="18"/>
                <w:highlight w:val="none"/>
                <w:u w:val="none"/>
                <w:lang w:val="en-US" w:eastAsia="zh-CN" w:bidi="ar"/>
              </w:rPr>
              <w:t>资金来源</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C9EA92">
            <w:pPr>
              <w:keepNext w:val="0"/>
              <w:keepLines w:val="0"/>
              <w:pageBreakBefore w:val="0"/>
              <w:widowControl/>
              <w:suppressLineNumbers w:val="0"/>
              <w:kinsoku/>
              <w:wordWrap/>
              <w:overflowPunct/>
              <w:topLinePunct w:val="0"/>
              <w:autoSpaceDE/>
              <w:autoSpaceDN/>
              <w:bidi w:val="0"/>
              <w:adjustRightInd/>
              <w:snapToGrid/>
              <w:spacing w:line="380" w:lineRule="exact"/>
              <w:jc w:val="center"/>
              <w:textAlignment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kern w:val="0"/>
                <w:sz w:val="18"/>
                <w:szCs w:val="18"/>
                <w:highlight w:val="none"/>
                <w:u w:val="none"/>
                <w:lang w:val="en-US" w:eastAsia="zh-CN" w:bidi="ar"/>
              </w:rPr>
              <w:t>年初预算数</w:t>
            </w:r>
          </w:p>
        </w:tc>
        <w:tc>
          <w:tcPr>
            <w:tcW w:w="208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AAC6A10">
            <w:pPr>
              <w:keepNext w:val="0"/>
              <w:keepLines w:val="0"/>
              <w:pageBreakBefore w:val="0"/>
              <w:widowControl/>
              <w:suppressLineNumbers w:val="0"/>
              <w:kinsoku/>
              <w:wordWrap/>
              <w:overflowPunct/>
              <w:topLinePunct w:val="0"/>
              <w:autoSpaceDE/>
              <w:autoSpaceDN/>
              <w:bidi w:val="0"/>
              <w:adjustRightInd/>
              <w:snapToGrid/>
              <w:spacing w:line="380" w:lineRule="exact"/>
              <w:jc w:val="center"/>
              <w:textAlignment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kern w:val="0"/>
                <w:sz w:val="18"/>
                <w:szCs w:val="18"/>
                <w:highlight w:val="none"/>
                <w:u w:val="none"/>
                <w:lang w:val="en-US" w:eastAsia="zh-CN" w:bidi="ar"/>
              </w:rPr>
              <w:t>全年预算数</w:t>
            </w:r>
          </w:p>
        </w:tc>
        <w:tc>
          <w:tcPr>
            <w:tcW w:w="171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107D7F6">
            <w:pPr>
              <w:keepNext w:val="0"/>
              <w:keepLines w:val="0"/>
              <w:pageBreakBefore w:val="0"/>
              <w:widowControl/>
              <w:suppressLineNumbers w:val="0"/>
              <w:kinsoku/>
              <w:wordWrap/>
              <w:overflowPunct/>
              <w:topLinePunct w:val="0"/>
              <w:autoSpaceDE/>
              <w:autoSpaceDN/>
              <w:bidi w:val="0"/>
              <w:adjustRightInd/>
              <w:snapToGrid/>
              <w:spacing w:line="380" w:lineRule="exact"/>
              <w:jc w:val="center"/>
              <w:textAlignment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kern w:val="0"/>
                <w:sz w:val="18"/>
                <w:szCs w:val="18"/>
                <w:highlight w:val="none"/>
                <w:u w:val="none"/>
                <w:lang w:val="en-US" w:eastAsia="zh-CN" w:bidi="ar"/>
              </w:rPr>
              <w:t>全年执行数</w:t>
            </w:r>
          </w:p>
        </w:tc>
        <w:tc>
          <w:tcPr>
            <w:tcW w:w="180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707C271">
            <w:pPr>
              <w:keepNext w:val="0"/>
              <w:keepLines w:val="0"/>
              <w:pageBreakBefore w:val="0"/>
              <w:widowControl/>
              <w:suppressLineNumbers w:val="0"/>
              <w:kinsoku/>
              <w:wordWrap/>
              <w:overflowPunct/>
              <w:topLinePunct w:val="0"/>
              <w:autoSpaceDE/>
              <w:autoSpaceDN/>
              <w:bidi w:val="0"/>
              <w:adjustRightInd/>
              <w:snapToGrid/>
              <w:spacing w:line="380" w:lineRule="exact"/>
              <w:jc w:val="center"/>
              <w:textAlignment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kern w:val="0"/>
                <w:sz w:val="18"/>
                <w:szCs w:val="18"/>
                <w:highlight w:val="none"/>
                <w:u w:val="none"/>
                <w:lang w:val="en-US" w:eastAsia="zh-CN" w:bidi="ar"/>
              </w:rPr>
              <w:t>分值权重</w:t>
            </w:r>
          </w:p>
        </w:tc>
        <w:tc>
          <w:tcPr>
            <w:tcW w:w="157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22A9CE7">
            <w:pPr>
              <w:keepNext w:val="0"/>
              <w:keepLines w:val="0"/>
              <w:pageBreakBefore w:val="0"/>
              <w:widowControl/>
              <w:suppressLineNumbers w:val="0"/>
              <w:kinsoku/>
              <w:wordWrap/>
              <w:overflowPunct/>
              <w:topLinePunct w:val="0"/>
              <w:autoSpaceDE/>
              <w:autoSpaceDN/>
              <w:bidi w:val="0"/>
              <w:adjustRightInd/>
              <w:snapToGrid/>
              <w:spacing w:line="380" w:lineRule="exact"/>
              <w:jc w:val="center"/>
              <w:textAlignment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kern w:val="0"/>
                <w:sz w:val="18"/>
                <w:szCs w:val="18"/>
                <w:highlight w:val="none"/>
                <w:u w:val="none"/>
                <w:lang w:val="en-US" w:eastAsia="zh-CN" w:bidi="ar"/>
              </w:rPr>
              <w:t>执行率</w:t>
            </w:r>
          </w:p>
        </w:tc>
        <w:tc>
          <w:tcPr>
            <w:tcW w:w="12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C57D0B">
            <w:pPr>
              <w:keepNext w:val="0"/>
              <w:keepLines w:val="0"/>
              <w:pageBreakBefore w:val="0"/>
              <w:widowControl/>
              <w:suppressLineNumbers w:val="0"/>
              <w:kinsoku/>
              <w:wordWrap/>
              <w:overflowPunct/>
              <w:topLinePunct w:val="0"/>
              <w:autoSpaceDE/>
              <w:autoSpaceDN/>
              <w:bidi w:val="0"/>
              <w:adjustRightInd/>
              <w:snapToGrid/>
              <w:spacing w:line="380" w:lineRule="exact"/>
              <w:jc w:val="center"/>
              <w:textAlignment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kern w:val="0"/>
                <w:sz w:val="18"/>
                <w:szCs w:val="18"/>
                <w:highlight w:val="none"/>
                <w:u w:val="none"/>
                <w:lang w:val="en-US" w:eastAsia="zh-CN" w:bidi="ar"/>
              </w:rPr>
              <w:t>得分</w:t>
            </w:r>
          </w:p>
        </w:tc>
      </w:tr>
      <w:tr w14:paraId="2900975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2209"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408DDE5">
            <w:pPr>
              <w:keepNext w:val="0"/>
              <w:keepLines w:val="0"/>
              <w:pageBreakBefore w:val="0"/>
              <w:kinsoku/>
              <w:wordWrap/>
              <w:overflowPunct/>
              <w:topLinePunct w:val="0"/>
              <w:autoSpaceDE/>
              <w:autoSpaceDN/>
              <w:bidi w:val="0"/>
              <w:adjustRightInd/>
              <w:snapToGrid/>
              <w:spacing w:line="380" w:lineRule="exact"/>
              <w:jc w:val="center"/>
              <w:rPr>
                <w:rFonts w:hint="eastAsia" w:ascii="仿宋_GB2312" w:hAnsi="仿宋_GB2312" w:eastAsia="仿宋_GB2312" w:cs="仿宋_GB2312"/>
                <w:i w:val="0"/>
                <w:iCs w:val="0"/>
                <w:color w:val="000000"/>
                <w:sz w:val="18"/>
                <w:szCs w:val="18"/>
                <w:highlight w:val="none"/>
                <w:u w:val="none"/>
              </w:rPr>
            </w:pPr>
          </w:p>
        </w:tc>
        <w:tc>
          <w:tcPr>
            <w:tcW w:w="234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A66A5B1">
            <w:pPr>
              <w:keepNext w:val="0"/>
              <w:keepLines w:val="0"/>
              <w:pageBreakBefore w:val="0"/>
              <w:widowControl/>
              <w:suppressLineNumbers w:val="0"/>
              <w:kinsoku/>
              <w:wordWrap/>
              <w:overflowPunct/>
              <w:topLinePunct w:val="0"/>
              <w:autoSpaceDE/>
              <w:autoSpaceDN/>
              <w:bidi w:val="0"/>
              <w:adjustRightInd/>
              <w:snapToGrid/>
              <w:spacing w:line="380" w:lineRule="exact"/>
              <w:jc w:val="center"/>
              <w:textAlignment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kern w:val="0"/>
                <w:sz w:val="18"/>
                <w:szCs w:val="18"/>
                <w:highlight w:val="none"/>
                <w:u w:val="none"/>
                <w:lang w:val="en-US" w:eastAsia="zh-CN" w:bidi="ar"/>
              </w:rPr>
              <w:t>年度资金总额</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288A19">
            <w:pPr>
              <w:keepNext w:val="0"/>
              <w:keepLines w:val="0"/>
              <w:pageBreakBefore w:val="0"/>
              <w:kinsoku/>
              <w:wordWrap/>
              <w:overflowPunct/>
              <w:topLinePunct w:val="0"/>
              <w:autoSpaceDE/>
              <w:autoSpaceDN/>
              <w:bidi w:val="0"/>
              <w:adjustRightInd/>
              <w:snapToGrid/>
              <w:spacing w:line="380" w:lineRule="exact"/>
              <w:jc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sz w:val="18"/>
                <w:szCs w:val="18"/>
                <w:highlight w:val="none"/>
                <w:u w:val="none"/>
              </w:rPr>
              <w:t>1363.06</w:t>
            </w:r>
          </w:p>
        </w:tc>
        <w:tc>
          <w:tcPr>
            <w:tcW w:w="208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1827F7D">
            <w:pPr>
              <w:keepNext w:val="0"/>
              <w:keepLines w:val="0"/>
              <w:pageBreakBefore w:val="0"/>
              <w:kinsoku/>
              <w:wordWrap/>
              <w:overflowPunct/>
              <w:topLinePunct w:val="0"/>
              <w:autoSpaceDE/>
              <w:autoSpaceDN/>
              <w:bidi w:val="0"/>
              <w:adjustRightInd/>
              <w:snapToGrid/>
              <w:spacing w:line="380" w:lineRule="exact"/>
              <w:jc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sz w:val="18"/>
                <w:szCs w:val="18"/>
                <w:highlight w:val="none"/>
                <w:u w:val="none"/>
              </w:rPr>
              <w:t>1363.06</w:t>
            </w:r>
          </w:p>
        </w:tc>
        <w:tc>
          <w:tcPr>
            <w:tcW w:w="171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FE716AD">
            <w:pPr>
              <w:keepNext w:val="0"/>
              <w:keepLines w:val="0"/>
              <w:pageBreakBefore w:val="0"/>
              <w:kinsoku/>
              <w:wordWrap/>
              <w:overflowPunct/>
              <w:topLinePunct w:val="0"/>
              <w:autoSpaceDE/>
              <w:autoSpaceDN/>
              <w:bidi w:val="0"/>
              <w:adjustRightInd/>
              <w:snapToGrid/>
              <w:spacing w:line="380" w:lineRule="exact"/>
              <w:jc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sz w:val="18"/>
                <w:szCs w:val="18"/>
                <w:highlight w:val="none"/>
                <w:u w:val="none"/>
              </w:rPr>
              <w:t>1300.21</w:t>
            </w:r>
          </w:p>
        </w:tc>
        <w:tc>
          <w:tcPr>
            <w:tcW w:w="180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779F43A">
            <w:pPr>
              <w:keepNext w:val="0"/>
              <w:keepLines w:val="0"/>
              <w:pageBreakBefore w:val="0"/>
              <w:kinsoku/>
              <w:wordWrap/>
              <w:overflowPunct/>
              <w:topLinePunct w:val="0"/>
              <w:autoSpaceDE/>
              <w:autoSpaceDN/>
              <w:bidi w:val="0"/>
              <w:adjustRightInd/>
              <w:snapToGrid/>
              <w:spacing w:line="380" w:lineRule="exact"/>
              <w:jc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sz w:val="18"/>
                <w:szCs w:val="18"/>
                <w:highlight w:val="none"/>
                <w:u w:val="none"/>
              </w:rPr>
              <w:t>10</w:t>
            </w:r>
          </w:p>
        </w:tc>
        <w:tc>
          <w:tcPr>
            <w:tcW w:w="157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C9E1413">
            <w:pPr>
              <w:keepNext w:val="0"/>
              <w:keepLines w:val="0"/>
              <w:pageBreakBefore w:val="0"/>
              <w:kinsoku/>
              <w:wordWrap/>
              <w:overflowPunct/>
              <w:topLinePunct w:val="0"/>
              <w:autoSpaceDE/>
              <w:autoSpaceDN/>
              <w:bidi w:val="0"/>
              <w:adjustRightInd/>
              <w:snapToGrid/>
              <w:spacing w:line="380" w:lineRule="exact"/>
              <w:jc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sz w:val="18"/>
                <w:szCs w:val="18"/>
                <w:highlight w:val="none"/>
                <w:u w:val="none"/>
              </w:rPr>
              <w:t>95.39%</w:t>
            </w:r>
          </w:p>
        </w:tc>
        <w:tc>
          <w:tcPr>
            <w:tcW w:w="12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44DD1D">
            <w:pPr>
              <w:keepNext w:val="0"/>
              <w:keepLines w:val="0"/>
              <w:pageBreakBefore w:val="0"/>
              <w:kinsoku/>
              <w:wordWrap/>
              <w:overflowPunct/>
              <w:topLinePunct w:val="0"/>
              <w:autoSpaceDE/>
              <w:autoSpaceDN/>
              <w:bidi w:val="0"/>
              <w:adjustRightInd/>
              <w:snapToGrid/>
              <w:spacing w:line="380" w:lineRule="exact"/>
              <w:jc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sz w:val="18"/>
                <w:szCs w:val="18"/>
                <w:highlight w:val="none"/>
                <w:u w:val="none"/>
              </w:rPr>
              <w:t>9.54分</w:t>
            </w:r>
          </w:p>
        </w:tc>
      </w:tr>
      <w:tr w14:paraId="763D527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2209"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3086731">
            <w:pPr>
              <w:keepNext w:val="0"/>
              <w:keepLines w:val="0"/>
              <w:pageBreakBefore w:val="0"/>
              <w:kinsoku/>
              <w:wordWrap/>
              <w:overflowPunct/>
              <w:topLinePunct w:val="0"/>
              <w:autoSpaceDE/>
              <w:autoSpaceDN/>
              <w:bidi w:val="0"/>
              <w:adjustRightInd/>
              <w:snapToGrid/>
              <w:spacing w:line="380" w:lineRule="exact"/>
              <w:jc w:val="center"/>
              <w:rPr>
                <w:rFonts w:hint="eastAsia" w:ascii="仿宋_GB2312" w:hAnsi="仿宋_GB2312" w:eastAsia="仿宋_GB2312" w:cs="仿宋_GB2312"/>
                <w:i w:val="0"/>
                <w:iCs w:val="0"/>
                <w:color w:val="000000"/>
                <w:sz w:val="18"/>
                <w:szCs w:val="18"/>
                <w:highlight w:val="none"/>
                <w:u w:val="none"/>
              </w:rPr>
            </w:pPr>
          </w:p>
        </w:tc>
        <w:tc>
          <w:tcPr>
            <w:tcW w:w="234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0CA5F9A">
            <w:pPr>
              <w:keepNext w:val="0"/>
              <w:keepLines w:val="0"/>
              <w:pageBreakBefore w:val="0"/>
              <w:widowControl/>
              <w:suppressLineNumbers w:val="0"/>
              <w:kinsoku/>
              <w:wordWrap/>
              <w:overflowPunct/>
              <w:topLinePunct w:val="0"/>
              <w:autoSpaceDE/>
              <w:autoSpaceDN/>
              <w:bidi w:val="0"/>
              <w:adjustRightInd/>
              <w:snapToGrid/>
              <w:spacing w:line="380" w:lineRule="exact"/>
              <w:jc w:val="center"/>
              <w:textAlignment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kern w:val="0"/>
                <w:sz w:val="18"/>
                <w:szCs w:val="18"/>
                <w:highlight w:val="none"/>
                <w:u w:val="none"/>
                <w:lang w:val="en-US" w:eastAsia="zh-CN" w:bidi="ar"/>
              </w:rPr>
              <w:t>其中：当年财政拨款</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3A4FA7">
            <w:pPr>
              <w:keepNext w:val="0"/>
              <w:keepLines w:val="0"/>
              <w:pageBreakBefore w:val="0"/>
              <w:kinsoku/>
              <w:wordWrap/>
              <w:overflowPunct/>
              <w:topLinePunct w:val="0"/>
              <w:autoSpaceDE/>
              <w:autoSpaceDN/>
              <w:bidi w:val="0"/>
              <w:adjustRightInd/>
              <w:snapToGrid/>
              <w:spacing w:line="380" w:lineRule="exact"/>
              <w:jc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sz w:val="18"/>
                <w:szCs w:val="18"/>
                <w:highlight w:val="none"/>
                <w:u w:val="none"/>
              </w:rPr>
              <w:t>1363.06</w:t>
            </w:r>
          </w:p>
        </w:tc>
        <w:tc>
          <w:tcPr>
            <w:tcW w:w="208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866B38F">
            <w:pPr>
              <w:keepNext w:val="0"/>
              <w:keepLines w:val="0"/>
              <w:pageBreakBefore w:val="0"/>
              <w:kinsoku/>
              <w:wordWrap/>
              <w:overflowPunct/>
              <w:topLinePunct w:val="0"/>
              <w:autoSpaceDE/>
              <w:autoSpaceDN/>
              <w:bidi w:val="0"/>
              <w:adjustRightInd/>
              <w:snapToGrid/>
              <w:spacing w:line="380" w:lineRule="exact"/>
              <w:jc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sz w:val="18"/>
                <w:szCs w:val="18"/>
                <w:highlight w:val="none"/>
                <w:u w:val="none"/>
              </w:rPr>
              <w:t>1363.06</w:t>
            </w:r>
          </w:p>
        </w:tc>
        <w:tc>
          <w:tcPr>
            <w:tcW w:w="171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FBC4326">
            <w:pPr>
              <w:keepNext w:val="0"/>
              <w:keepLines w:val="0"/>
              <w:pageBreakBefore w:val="0"/>
              <w:kinsoku/>
              <w:wordWrap/>
              <w:overflowPunct/>
              <w:topLinePunct w:val="0"/>
              <w:autoSpaceDE/>
              <w:autoSpaceDN/>
              <w:bidi w:val="0"/>
              <w:adjustRightInd/>
              <w:snapToGrid/>
              <w:spacing w:line="380" w:lineRule="exact"/>
              <w:jc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sz w:val="18"/>
                <w:szCs w:val="18"/>
                <w:highlight w:val="none"/>
                <w:u w:val="none"/>
              </w:rPr>
              <w:t>1300.212</w:t>
            </w:r>
          </w:p>
        </w:tc>
        <w:tc>
          <w:tcPr>
            <w:tcW w:w="180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043D50A">
            <w:pPr>
              <w:keepNext w:val="0"/>
              <w:keepLines w:val="0"/>
              <w:pageBreakBefore w:val="0"/>
              <w:kinsoku/>
              <w:wordWrap/>
              <w:overflowPunct/>
              <w:topLinePunct w:val="0"/>
              <w:autoSpaceDE/>
              <w:autoSpaceDN/>
              <w:bidi w:val="0"/>
              <w:adjustRightInd/>
              <w:snapToGrid/>
              <w:spacing w:line="380" w:lineRule="exact"/>
              <w:jc w:val="center"/>
              <w:rPr>
                <w:rFonts w:hint="eastAsia" w:ascii="仿宋_GB2312" w:hAnsi="仿宋_GB2312" w:eastAsia="仿宋_GB2312" w:cs="仿宋_GB2312"/>
                <w:i w:val="0"/>
                <w:iCs w:val="0"/>
                <w:color w:val="000000"/>
                <w:sz w:val="18"/>
                <w:szCs w:val="18"/>
                <w:highlight w:val="none"/>
                <w:u w:val="none"/>
              </w:rPr>
            </w:pPr>
          </w:p>
        </w:tc>
        <w:tc>
          <w:tcPr>
            <w:tcW w:w="157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D0A4BF5">
            <w:pPr>
              <w:keepNext w:val="0"/>
              <w:keepLines w:val="0"/>
              <w:pageBreakBefore w:val="0"/>
              <w:kinsoku/>
              <w:wordWrap/>
              <w:overflowPunct/>
              <w:topLinePunct w:val="0"/>
              <w:autoSpaceDE/>
              <w:autoSpaceDN/>
              <w:bidi w:val="0"/>
              <w:adjustRightInd/>
              <w:snapToGrid/>
              <w:spacing w:line="380" w:lineRule="exact"/>
              <w:jc w:val="center"/>
              <w:rPr>
                <w:rFonts w:hint="eastAsia" w:ascii="仿宋_GB2312" w:hAnsi="仿宋_GB2312" w:eastAsia="仿宋_GB2312" w:cs="仿宋_GB2312"/>
                <w:i w:val="0"/>
                <w:iCs w:val="0"/>
                <w:color w:val="000000"/>
                <w:sz w:val="18"/>
                <w:szCs w:val="18"/>
                <w:highlight w:val="none"/>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5C3FCF">
            <w:pPr>
              <w:keepNext w:val="0"/>
              <w:keepLines w:val="0"/>
              <w:pageBreakBefore w:val="0"/>
              <w:kinsoku/>
              <w:wordWrap/>
              <w:overflowPunct/>
              <w:topLinePunct w:val="0"/>
              <w:autoSpaceDE/>
              <w:autoSpaceDN/>
              <w:bidi w:val="0"/>
              <w:adjustRightInd/>
              <w:snapToGrid/>
              <w:spacing w:line="380" w:lineRule="exact"/>
              <w:jc w:val="center"/>
              <w:rPr>
                <w:rFonts w:hint="eastAsia" w:ascii="仿宋_GB2312" w:hAnsi="仿宋_GB2312" w:eastAsia="仿宋_GB2312" w:cs="仿宋_GB2312"/>
                <w:i w:val="0"/>
                <w:iCs w:val="0"/>
                <w:color w:val="000000"/>
                <w:sz w:val="18"/>
                <w:szCs w:val="18"/>
                <w:highlight w:val="none"/>
                <w:u w:val="none"/>
              </w:rPr>
            </w:pPr>
          </w:p>
        </w:tc>
      </w:tr>
      <w:tr w14:paraId="1902E30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2209"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17084FE">
            <w:pPr>
              <w:keepNext w:val="0"/>
              <w:keepLines w:val="0"/>
              <w:pageBreakBefore w:val="0"/>
              <w:kinsoku/>
              <w:wordWrap/>
              <w:overflowPunct/>
              <w:topLinePunct w:val="0"/>
              <w:autoSpaceDE/>
              <w:autoSpaceDN/>
              <w:bidi w:val="0"/>
              <w:adjustRightInd/>
              <w:snapToGrid/>
              <w:spacing w:line="380" w:lineRule="exact"/>
              <w:jc w:val="center"/>
              <w:rPr>
                <w:rFonts w:hint="eastAsia" w:ascii="仿宋_GB2312" w:hAnsi="仿宋_GB2312" w:eastAsia="仿宋_GB2312" w:cs="仿宋_GB2312"/>
                <w:i w:val="0"/>
                <w:iCs w:val="0"/>
                <w:color w:val="000000"/>
                <w:sz w:val="18"/>
                <w:szCs w:val="18"/>
                <w:highlight w:val="none"/>
                <w:u w:val="none"/>
              </w:rPr>
            </w:pPr>
          </w:p>
        </w:tc>
        <w:tc>
          <w:tcPr>
            <w:tcW w:w="2344" w:type="dxa"/>
            <w:gridSpan w:val="2"/>
            <w:tcBorders>
              <w:top w:val="single" w:color="000000" w:sz="4" w:space="0"/>
              <w:left w:val="single" w:color="000000" w:sz="4" w:space="0"/>
              <w:bottom w:val="nil"/>
              <w:right w:val="single" w:color="000000" w:sz="4" w:space="0"/>
            </w:tcBorders>
            <w:shd w:val="clear" w:color="auto" w:fill="auto"/>
            <w:vAlign w:val="center"/>
          </w:tcPr>
          <w:p w14:paraId="1F6F8488">
            <w:pPr>
              <w:keepNext w:val="0"/>
              <w:keepLines w:val="0"/>
              <w:pageBreakBefore w:val="0"/>
              <w:widowControl/>
              <w:suppressLineNumbers w:val="0"/>
              <w:kinsoku/>
              <w:wordWrap/>
              <w:overflowPunct/>
              <w:topLinePunct w:val="0"/>
              <w:autoSpaceDE/>
              <w:autoSpaceDN/>
              <w:bidi w:val="0"/>
              <w:adjustRightInd/>
              <w:snapToGrid/>
              <w:spacing w:line="380" w:lineRule="exact"/>
              <w:jc w:val="center"/>
              <w:textAlignment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kern w:val="0"/>
                <w:sz w:val="18"/>
                <w:szCs w:val="18"/>
                <w:highlight w:val="none"/>
                <w:u w:val="none"/>
                <w:lang w:val="en-US" w:eastAsia="zh-CN" w:bidi="ar"/>
              </w:rPr>
              <w:t>其他资金</w:t>
            </w:r>
          </w:p>
        </w:tc>
        <w:tc>
          <w:tcPr>
            <w:tcW w:w="1140" w:type="dxa"/>
            <w:tcBorders>
              <w:top w:val="single" w:color="000000" w:sz="4" w:space="0"/>
              <w:left w:val="single" w:color="000000" w:sz="4" w:space="0"/>
              <w:bottom w:val="nil"/>
              <w:right w:val="single" w:color="000000" w:sz="4" w:space="0"/>
            </w:tcBorders>
            <w:shd w:val="clear" w:color="auto" w:fill="auto"/>
            <w:vAlign w:val="center"/>
          </w:tcPr>
          <w:p w14:paraId="176A7D73">
            <w:pPr>
              <w:keepNext w:val="0"/>
              <w:keepLines w:val="0"/>
              <w:pageBreakBefore w:val="0"/>
              <w:kinsoku/>
              <w:wordWrap/>
              <w:overflowPunct/>
              <w:topLinePunct w:val="0"/>
              <w:autoSpaceDE/>
              <w:autoSpaceDN/>
              <w:bidi w:val="0"/>
              <w:adjustRightInd/>
              <w:snapToGrid/>
              <w:spacing w:line="380" w:lineRule="exact"/>
              <w:jc w:val="center"/>
              <w:rPr>
                <w:rFonts w:hint="eastAsia" w:ascii="仿宋_GB2312" w:hAnsi="仿宋_GB2312" w:eastAsia="仿宋_GB2312" w:cs="仿宋_GB2312"/>
                <w:i w:val="0"/>
                <w:iCs w:val="0"/>
                <w:color w:val="000000"/>
                <w:sz w:val="18"/>
                <w:szCs w:val="18"/>
                <w:highlight w:val="none"/>
                <w:u w:val="none"/>
                <w:lang w:val="en-US" w:eastAsia="zh-CN"/>
              </w:rPr>
            </w:pPr>
            <w:r>
              <w:rPr>
                <w:rFonts w:hint="eastAsia" w:ascii="仿宋_GB2312" w:hAnsi="仿宋_GB2312" w:eastAsia="仿宋_GB2312" w:cs="仿宋_GB2312"/>
                <w:i w:val="0"/>
                <w:iCs w:val="0"/>
                <w:color w:val="000000"/>
                <w:sz w:val="18"/>
                <w:szCs w:val="18"/>
                <w:highlight w:val="none"/>
                <w:u w:val="none"/>
                <w:lang w:val="en-US" w:eastAsia="zh-CN"/>
              </w:rPr>
              <w:t>0</w:t>
            </w:r>
          </w:p>
        </w:tc>
        <w:tc>
          <w:tcPr>
            <w:tcW w:w="2088" w:type="dxa"/>
            <w:gridSpan w:val="2"/>
            <w:tcBorders>
              <w:top w:val="single" w:color="000000" w:sz="4" w:space="0"/>
              <w:left w:val="single" w:color="000000" w:sz="4" w:space="0"/>
              <w:bottom w:val="nil"/>
              <w:right w:val="single" w:color="000000" w:sz="4" w:space="0"/>
            </w:tcBorders>
            <w:shd w:val="clear" w:color="auto" w:fill="auto"/>
            <w:vAlign w:val="center"/>
          </w:tcPr>
          <w:p w14:paraId="1378F1A5">
            <w:pPr>
              <w:keepNext w:val="0"/>
              <w:keepLines w:val="0"/>
              <w:pageBreakBefore w:val="0"/>
              <w:kinsoku/>
              <w:wordWrap/>
              <w:overflowPunct/>
              <w:topLinePunct w:val="0"/>
              <w:autoSpaceDE/>
              <w:autoSpaceDN/>
              <w:bidi w:val="0"/>
              <w:adjustRightInd/>
              <w:snapToGrid/>
              <w:spacing w:line="380" w:lineRule="exact"/>
              <w:jc w:val="center"/>
              <w:rPr>
                <w:rFonts w:hint="eastAsia" w:ascii="仿宋_GB2312" w:hAnsi="仿宋_GB2312" w:eastAsia="仿宋_GB2312" w:cs="仿宋_GB2312"/>
                <w:i w:val="0"/>
                <w:iCs w:val="0"/>
                <w:color w:val="000000"/>
                <w:sz w:val="18"/>
                <w:szCs w:val="18"/>
                <w:highlight w:val="none"/>
                <w:u w:val="none"/>
                <w:lang w:val="en-US" w:eastAsia="zh-CN"/>
              </w:rPr>
            </w:pPr>
            <w:r>
              <w:rPr>
                <w:rFonts w:hint="eastAsia" w:ascii="仿宋_GB2312" w:hAnsi="仿宋_GB2312" w:eastAsia="仿宋_GB2312" w:cs="仿宋_GB2312"/>
                <w:i w:val="0"/>
                <w:iCs w:val="0"/>
                <w:color w:val="000000"/>
                <w:sz w:val="18"/>
                <w:szCs w:val="18"/>
                <w:highlight w:val="none"/>
                <w:u w:val="none"/>
                <w:lang w:val="en-US" w:eastAsia="zh-CN"/>
              </w:rPr>
              <w:t>0</w:t>
            </w:r>
          </w:p>
        </w:tc>
        <w:tc>
          <w:tcPr>
            <w:tcW w:w="1719" w:type="dxa"/>
            <w:gridSpan w:val="2"/>
            <w:tcBorders>
              <w:top w:val="single" w:color="000000" w:sz="4" w:space="0"/>
              <w:left w:val="single" w:color="000000" w:sz="4" w:space="0"/>
              <w:bottom w:val="nil"/>
              <w:right w:val="single" w:color="000000" w:sz="4" w:space="0"/>
            </w:tcBorders>
            <w:shd w:val="clear" w:color="auto" w:fill="auto"/>
            <w:vAlign w:val="center"/>
          </w:tcPr>
          <w:p w14:paraId="467FD46B">
            <w:pPr>
              <w:keepNext w:val="0"/>
              <w:keepLines w:val="0"/>
              <w:pageBreakBefore w:val="0"/>
              <w:kinsoku/>
              <w:wordWrap/>
              <w:overflowPunct/>
              <w:topLinePunct w:val="0"/>
              <w:autoSpaceDE/>
              <w:autoSpaceDN/>
              <w:bidi w:val="0"/>
              <w:adjustRightInd/>
              <w:snapToGrid/>
              <w:spacing w:line="380" w:lineRule="exact"/>
              <w:jc w:val="center"/>
              <w:rPr>
                <w:rFonts w:hint="eastAsia" w:ascii="仿宋_GB2312" w:hAnsi="仿宋_GB2312" w:eastAsia="仿宋_GB2312" w:cs="仿宋_GB2312"/>
                <w:i w:val="0"/>
                <w:iCs w:val="0"/>
                <w:color w:val="000000"/>
                <w:sz w:val="18"/>
                <w:szCs w:val="18"/>
                <w:highlight w:val="none"/>
                <w:u w:val="none"/>
              </w:rPr>
            </w:pPr>
          </w:p>
        </w:tc>
        <w:tc>
          <w:tcPr>
            <w:tcW w:w="180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4504B1A">
            <w:pPr>
              <w:keepNext w:val="0"/>
              <w:keepLines w:val="0"/>
              <w:pageBreakBefore w:val="0"/>
              <w:kinsoku/>
              <w:wordWrap/>
              <w:overflowPunct/>
              <w:topLinePunct w:val="0"/>
              <w:autoSpaceDE/>
              <w:autoSpaceDN/>
              <w:bidi w:val="0"/>
              <w:adjustRightInd/>
              <w:snapToGrid/>
              <w:spacing w:line="380" w:lineRule="exact"/>
              <w:jc w:val="center"/>
              <w:rPr>
                <w:rFonts w:hint="eastAsia" w:ascii="仿宋_GB2312" w:hAnsi="仿宋_GB2312" w:eastAsia="仿宋_GB2312" w:cs="仿宋_GB2312"/>
                <w:i w:val="0"/>
                <w:iCs w:val="0"/>
                <w:color w:val="000000"/>
                <w:sz w:val="18"/>
                <w:szCs w:val="18"/>
                <w:highlight w:val="none"/>
                <w:u w:val="none"/>
              </w:rPr>
            </w:pPr>
          </w:p>
        </w:tc>
        <w:tc>
          <w:tcPr>
            <w:tcW w:w="157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7D5AF6E">
            <w:pPr>
              <w:keepNext w:val="0"/>
              <w:keepLines w:val="0"/>
              <w:pageBreakBefore w:val="0"/>
              <w:kinsoku/>
              <w:wordWrap/>
              <w:overflowPunct/>
              <w:topLinePunct w:val="0"/>
              <w:autoSpaceDE/>
              <w:autoSpaceDN/>
              <w:bidi w:val="0"/>
              <w:adjustRightInd/>
              <w:snapToGrid/>
              <w:spacing w:line="380" w:lineRule="exact"/>
              <w:jc w:val="center"/>
              <w:rPr>
                <w:rFonts w:hint="eastAsia" w:ascii="仿宋_GB2312" w:hAnsi="仿宋_GB2312" w:eastAsia="仿宋_GB2312" w:cs="仿宋_GB2312"/>
                <w:i w:val="0"/>
                <w:iCs w:val="0"/>
                <w:color w:val="000000"/>
                <w:sz w:val="18"/>
                <w:szCs w:val="18"/>
                <w:highlight w:val="none"/>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A86513">
            <w:pPr>
              <w:keepNext w:val="0"/>
              <w:keepLines w:val="0"/>
              <w:pageBreakBefore w:val="0"/>
              <w:kinsoku/>
              <w:wordWrap/>
              <w:overflowPunct/>
              <w:topLinePunct w:val="0"/>
              <w:autoSpaceDE/>
              <w:autoSpaceDN/>
              <w:bidi w:val="0"/>
              <w:adjustRightInd/>
              <w:snapToGrid/>
              <w:spacing w:line="380" w:lineRule="exact"/>
              <w:jc w:val="center"/>
              <w:rPr>
                <w:rFonts w:hint="eastAsia" w:ascii="仿宋_GB2312" w:hAnsi="仿宋_GB2312" w:eastAsia="仿宋_GB2312" w:cs="仿宋_GB2312"/>
                <w:i w:val="0"/>
                <w:iCs w:val="0"/>
                <w:color w:val="000000"/>
                <w:sz w:val="18"/>
                <w:szCs w:val="18"/>
                <w:highlight w:val="none"/>
                <w:u w:val="none"/>
              </w:rPr>
            </w:pPr>
          </w:p>
        </w:tc>
      </w:tr>
      <w:tr w14:paraId="0B7408C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91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88F586A">
            <w:pPr>
              <w:keepNext w:val="0"/>
              <w:keepLines w:val="0"/>
              <w:pageBreakBefore w:val="0"/>
              <w:widowControl/>
              <w:suppressLineNumbers w:val="0"/>
              <w:kinsoku/>
              <w:wordWrap/>
              <w:overflowPunct/>
              <w:topLinePunct w:val="0"/>
              <w:autoSpaceDE/>
              <w:autoSpaceDN/>
              <w:bidi w:val="0"/>
              <w:adjustRightInd/>
              <w:snapToGrid/>
              <w:spacing w:line="380" w:lineRule="exact"/>
              <w:jc w:val="center"/>
              <w:textAlignment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kern w:val="0"/>
                <w:sz w:val="18"/>
                <w:szCs w:val="18"/>
                <w:highlight w:val="none"/>
                <w:u w:val="none"/>
                <w:lang w:val="en-US" w:eastAsia="zh-CN" w:bidi="ar"/>
              </w:rPr>
              <w:t>年度总体目标</w:t>
            </w:r>
          </w:p>
        </w:tc>
        <w:tc>
          <w:tcPr>
            <w:tcW w:w="8583"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14:paraId="38AD8A16">
            <w:pPr>
              <w:keepNext w:val="0"/>
              <w:keepLines w:val="0"/>
              <w:pageBreakBefore w:val="0"/>
              <w:widowControl/>
              <w:suppressLineNumbers w:val="0"/>
              <w:kinsoku/>
              <w:wordWrap/>
              <w:overflowPunct/>
              <w:topLinePunct w:val="0"/>
              <w:autoSpaceDE/>
              <w:autoSpaceDN/>
              <w:bidi w:val="0"/>
              <w:adjustRightInd/>
              <w:snapToGrid/>
              <w:spacing w:line="380" w:lineRule="exact"/>
              <w:jc w:val="center"/>
              <w:textAlignment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kern w:val="0"/>
                <w:sz w:val="18"/>
                <w:szCs w:val="18"/>
                <w:highlight w:val="none"/>
                <w:u w:val="none"/>
                <w:lang w:val="en-US" w:eastAsia="zh-CN" w:bidi="ar"/>
              </w:rPr>
              <w:t>总体目标</w:t>
            </w:r>
          </w:p>
        </w:tc>
        <w:tc>
          <w:tcPr>
            <w:tcW w:w="467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27FCDCE6">
            <w:pPr>
              <w:keepNext w:val="0"/>
              <w:keepLines w:val="0"/>
              <w:pageBreakBefore w:val="0"/>
              <w:widowControl/>
              <w:suppressLineNumbers w:val="0"/>
              <w:kinsoku/>
              <w:wordWrap/>
              <w:overflowPunct/>
              <w:topLinePunct w:val="0"/>
              <w:autoSpaceDE/>
              <w:autoSpaceDN/>
              <w:bidi w:val="0"/>
              <w:adjustRightInd/>
              <w:snapToGrid/>
              <w:spacing w:line="380" w:lineRule="exact"/>
              <w:jc w:val="center"/>
              <w:textAlignment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kern w:val="0"/>
                <w:sz w:val="18"/>
                <w:szCs w:val="18"/>
                <w:highlight w:val="none"/>
                <w:u w:val="none"/>
                <w:lang w:val="en-US" w:eastAsia="zh-CN" w:bidi="ar"/>
              </w:rPr>
              <w:t>总体目标完成情况</w:t>
            </w:r>
          </w:p>
        </w:tc>
      </w:tr>
      <w:tr w14:paraId="7C935FA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90" w:hRule="atLeast"/>
        </w:trPr>
        <w:tc>
          <w:tcPr>
            <w:tcW w:w="91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26E036D">
            <w:pPr>
              <w:keepNext w:val="0"/>
              <w:keepLines w:val="0"/>
              <w:pageBreakBefore w:val="0"/>
              <w:kinsoku/>
              <w:wordWrap/>
              <w:overflowPunct/>
              <w:topLinePunct w:val="0"/>
              <w:autoSpaceDE/>
              <w:autoSpaceDN/>
              <w:bidi w:val="0"/>
              <w:adjustRightInd/>
              <w:snapToGrid/>
              <w:spacing w:line="380" w:lineRule="exact"/>
              <w:jc w:val="center"/>
              <w:rPr>
                <w:rFonts w:hint="eastAsia" w:ascii="仿宋_GB2312" w:hAnsi="仿宋_GB2312" w:eastAsia="仿宋_GB2312" w:cs="仿宋_GB2312"/>
                <w:i w:val="0"/>
                <w:iCs w:val="0"/>
                <w:color w:val="000000"/>
                <w:sz w:val="18"/>
                <w:szCs w:val="18"/>
                <w:highlight w:val="none"/>
                <w:u w:val="none"/>
              </w:rPr>
            </w:pPr>
          </w:p>
        </w:tc>
        <w:tc>
          <w:tcPr>
            <w:tcW w:w="8583" w:type="dxa"/>
            <w:gridSpan w:val="8"/>
            <w:tcBorders>
              <w:top w:val="single" w:color="000000" w:sz="4" w:space="0"/>
              <w:left w:val="single" w:color="000000" w:sz="4" w:space="0"/>
              <w:bottom w:val="single" w:color="000000" w:sz="4" w:space="0"/>
              <w:right w:val="single" w:color="000000" w:sz="4" w:space="0"/>
            </w:tcBorders>
            <w:shd w:val="clear" w:color="auto" w:fill="auto"/>
            <w:vAlign w:val="top"/>
          </w:tcPr>
          <w:p w14:paraId="51D16BBF">
            <w:pPr>
              <w:keepNext w:val="0"/>
              <w:keepLines w:val="0"/>
              <w:pageBreakBefore w:val="0"/>
              <w:kinsoku/>
              <w:wordWrap/>
              <w:overflowPunct/>
              <w:topLinePunct w:val="0"/>
              <w:autoSpaceDE/>
              <w:autoSpaceDN/>
              <w:bidi w:val="0"/>
              <w:adjustRightInd/>
              <w:snapToGrid/>
              <w:spacing w:line="380" w:lineRule="exact"/>
              <w:jc w:val="left"/>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sz w:val="18"/>
                <w:szCs w:val="18"/>
                <w:highlight w:val="none"/>
                <w:u w:val="none"/>
              </w:rPr>
              <w:t>2024年新一轮退耕还林延长期补助面积13.63057万亩，退耕还林合格率大于等于65%，新一轮退耕还林还草延长期补助资金兑现率达到100%，新一轮退耕还林还草延长补助标准为100元/亩，改善林区民生状况，增强巩固退耕还林还草发挥生态效益，退耕农户政策满意度大于等于85%，</w:t>
            </w:r>
          </w:p>
        </w:tc>
        <w:tc>
          <w:tcPr>
            <w:tcW w:w="467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4E64289D">
            <w:pPr>
              <w:keepNext w:val="0"/>
              <w:keepLines w:val="0"/>
              <w:pageBreakBefore w:val="0"/>
              <w:kinsoku/>
              <w:wordWrap/>
              <w:overflowPunct/>
              <w:topLinePunct w:val="0"/>
              <w:autoSpaceDE/>
              <w:autoSpaceDN/>
              <w:bidi w:val="0"/>
              <w:adjustRightInd/>
              <w:snapToGrid/>
              <w:spacing w:line="380" w:lineRule="exact"/>
              <w:jc w:val="left"/>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sz w:val="18"/>
                <w:szCs w:val="18"/>
                <w:highlight w:val="none"/>
                <w:u w:val="none"/>
              </w:rPr>
              <w:t>2024年6月份林草局组织技术人员，各乡镇林业专干配合对新一轮退耕还林进行成活率的验收，验收完成后，对合格地块进行核算，发放退耕还林补助资金1300.21万元，新一轮退耕还林还草延长补助标准为100元/亩，有效改善生态环境，退耕农户政策满意度达到85%，对不合格地块及时告知退耕户，督促退耕户在秋季进行补植补造。</w:t>
            </w:r>
          </w:p>
        </w:tc>
      </w:tr>
      <w:tr w14:paraId="36DC08C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91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E814763">
            <w:pPr>
              <w:keepNext w:val="0"/>
              <w:keepLines w:val="0"/>
              <w:pageBreakBefore w:val="0"/>
              <w:kinsoku/>
              <w:wordWrap/>
              <w:overflowPunct/>
              <w:topLinePunct w:val="0"/>
              <w:autoSpaceDE/>
              <w:autoSpaceDN/>
              <w:bidi w:val="0"/>
              <w:adjustRightInd/>
              <w:snapToGrid/>
              <w:spacing w:line="380" w:lineRule="exact"/>
              <w:jc w:val="center"/>
              <w:rPr>
                <w:rFonts w:hint="eastAsia" w:ascii="仿宋_GB2312" w:hAnsi="仿宋_GB2312" w:eastAsia="仿宋_GB2312" w:cs="仿宋_GB2312"/>
                <w:i w:val="0"/>
                <w:iCs w:val="0"/>
                <w:color w:val="000000"/>
                <w:sz w:val="18"/>
                <w:szCs w:val="18"/>
                <w:highlight w:val="none"/>
                <w:u w:val="none"/>
                <w:lang w:val="en-US" w:eastAsia="zh-CN"/>
              </w:rPr>
            </w:pPr>
            <w:r>
              <w:rPr>
                <w:rFonts w:hint="eastAsia" w:ascii="仿宋_GB2312" w:hAnsi="仿宋_GB2312" w:eastAsia="仿宋_GB2312" w:cs="仿宋_GB2312"/>
                <w:i w:val="0"/>
                <w:iCs w:val="0"/>
                <w:color w:val="000000"/>
                <w:sz w:val="18"/>
                <w:szCs w:val="18"/>
                <w:highlight w:val="none"/>
                <w:u w:val="none"/>
                <w:lang w:val="en-US" w:eastAsia="zh-CN"/>
              </w:rPr>
              <w:t>绩效指标</w:t>
            </w:r>
          </w:p>
        </w:tc>
        <w:tc>
          <w:tcPr>
            <w:tcW w:w="12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BAB6B9">
            <w:pPr>
              <w:keepNext w:val="0"/>
              <w:keepLines w:val="0"/>
              <w:pageBreakBefore w:val="0"/>
              <w:widowControl/>
              <w:suppressLineNumbers w:val="0"/>
              <w:kinsoku/>
              <w:wordWrap/>
              <w:overflowPunct/>
              <w:topLinePunct w:val="0"/>
              <w:autoSpaceDE/>
              <w:autoSpaceDN/>
              <w:bidi w:val="0"/>
              <w:adjustRightInd/>
              <w:snapToGrid/>
              <w:spacing w:line="380" w:lineRule="exact"/>
              <w:jc w:val="center"/>
              <w:textAlignment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kern w:val="0"/>
                <w:sz w:val="18"/>
                <w:szCs w:val="18"/>
                <w:highlight w:val="none"/>
                <w:u w:val="none"/>
                <w:lang w:val="en-US" w:eastAsia="zh-CN" w:bidi="ar"/>
              </w:rPr>
              <w:t>一级指标</w:t>
            </w:r>
          </w:p>
        </w:tc>
        <w:tc>
          <w:tcPr>
            <w:tcW w:w="13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5D028F">
            <w:pPr>
              <w:keepNext w:val="0"/>
              <w:keepLines w:val="0"/>
              <w:pageBreakBefore w:val="0"/>
              <w:widowControl/>
              <w:suppressLineNumbers w:val="0"/>
              <w:kinsoku/>
              <w:wordWrap/>
              <w:overflowPunct/>
              <w:topLinePunct w:val="0"/>
              <w:autoSpaceDE/>
              <w:autoSpaceDN/>
              <w:bidi w:val="0"/>
              <w:adjustRightInd/>
              <w:snapToGrid/>
              <w:spacing w:line="380" w:lineRule="exact"/>
              <w:jc w:val="center"/>
              <w:textAlignment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kern w:val="0"/>
                <w:sz w:val="18"/>
                <w:szCs w:val="18"/>
                <w:highlight w:val="none"/>
                <w:u w:val="none"/>
                <w:lang w:val="en-US" w:eastAsia="zh-CN" w:bidi="ar"/>
              </w:rPr>
              <w:t>二级指标</w:t>
            </w:r>
          </w:p>
        </w:tc>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C0EC31">
            <w:pPr>
              <w:keepNext w:val="0"/>
              <w:keepLines w:val="0"/>
              <w:pageBreakBefore w:val="0"/>
              <w:widowControl/>
              <w:suppressLineNumbers w:val="0"/>
              <w:kinsoku/>
              <w:wordWrap/>
              <w:overflowPunct/>
              <w:topLinePunct w:val="0"/>
              <w:autoSpaceDE/>
              <w:autoSpaceDN/>
              <w:bidi w:val="0"/>
              <w:adjustRightInd/>
              <w:snapToGrid/>
              <w:spacing w:line="380" w:lineRule="exact"/>
              <w:jc w:val="center"/>
              <w:textAlignment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kern w:val="0"/>
                <w:sz w:val="18"/>
                <w:szCs w:val="18"/>
                <w:highlight w:val="none"/>
                <w:u w:val="none"/>
                <w:lang w:val="en-US" w:eastAsia="zh-CN" w:bidi="ar"/>
              </w:rPr>
              <w:t>三级指标</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BD7BA2">
            <w:pPr>
              <w:keepNext w:val="0"/>
              <w:keepLines w:val="0"/>
              <w:pageBreakBefore w:val="0"/>
              <w:widowControl/>
              <w:suppressLineNumbers w:val="0"/>
              <w:kinsoku/>
              <w:wordWrap/>
              <w:overflowPunct/>
              <w:topLinePunct w:val="0"/>
              <w:autoSpaceDE/>
              <w:autoSpaceDN/>
              <w:bidi w:val="0"/>
              <w:adjustRightInd/>
              <w:snapToGrid/>
              <w:spacing w:line="380" w:lineRule="exact"/>
              <w:jc w:val="center"/>
              <w:textAlignment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kern w:val="0"/>
                <w:sz w:val="18"/>
                <w:szCs w:val="18"/>
                <w:highlight w:val="none"/>
                <w:u w:val="none"/>
                <w:lang w:val="en-US" w:eastAsia="zh-CN" w:bidi="ar"/>
              </w:rPr>
              <w:t>指标值</w:t>
            </w:r>
          </w:p>
        </w:tc>
        <w:tc>
          <w:tcPr>
            <w:tcW w:w="11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F3DE34">
            <w:pPr>
              <w:keepNext w:val="0"/>
              <w:keepLines w:val="0"/>
              <w:pageBreakBefore w:val="0"/>
              <w:widowControl/>
              <w:suppressLineNumbers w:val="0"/>
              <w:kinsoku/>
              <w:wordWrap/>
              <w:overflowPunct/>
              <w:topLinePunct w:val="0"/>
              <w:autoSpaceDE/>
              <w:autoSpaceDN/>
              <w:bidi w:val="0"/>
              <w:adjustRightInd/>
              <w:snapToGrid/>
              <w:spacing w:line="380" w:lineRule="exact"/>
              <w:jc w:val="center"/>
              <w:textAlignment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kern w:val="0"/>
                <w:sz w:val="18"/>
                <w:szCs w:val="18"/>
                <w:highlight w:val="none"/>
                <w:u w:val="none"/>
                <w:lang w:val="en-US" w:eastAsia="zh-CN" w:bidi="ar"/>
              </w:rPr>
              <w:t>指标值设置依据</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FDEB8F">
            <w:pPr>
              <w:keepNext w:val="0"/>
              <w:keepLines w:val="0"/>
              <w:pageBreakBefore w:val="0"/>
              <w:widowControl/>
              <w:suppressLineNumbers w:val="0"/>
              <w:kinsoku/>
              <w:wordWrap/>
              <w:overflowPunct/>
              <w:topLinePunct w:val="0"/>
              <w:autoSpaceDE/>
              <w:autoSpaceDN/>
              <w:bidi w:val="0"/>
              <w:adjustRightInd/>
              <w:snapToGrid/>
              <w:spacing w:line="380" w:lineRule="exact"/>
              <w:jc w:val="center"/>
              <w:textAlignment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kern w:val="0"/>
                <w:sz w:val="18"/>
                <w:szCs w:val="18"/>
                <w:highlight w:val="none"/>
                <w:u w:val="none"/>
                <w:lang w:val="en-US" w:eastAsia="zh-CN" w:bidi="ar"/>
              </w:rPr>
              <w:t>上年完成值</w:t>
            </w:r>
          </w:p>
        </w:tc>
        <w:tc>
          <w:tcPr>
            <w:tcW w:w="8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DC8810">
            <w:pPr>
              <w:keepNext w:val="0"/>
              <w:keepLines w:val="0"/>
              <w:pageBreakBefore w:val="0"/>
              <w:widowControl/>
              <w:suppressLineNumbers w:val="0"/>
              <w:kinsoku/>
              <w:wordWrap/>
              <w:overflowPunct/>
              <w:topLinePunct w:val="0"/>
              <w:autoSpaceDE/>
              <w:autoSpaceDN/>
              <w:bidi w:val="0"/>
              <w:adjustRightInd/>
              <w:snapToGrid/>
              <w:spacing w:line="380" w:lineRule="exact"/>
              <w:jc w:val="center"/>
              <w:textAlignment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kern w:val="0"/>
                <w:sz w:val="18"/>
                <w:szCs w:val="18"/>
                <w:highlight w:val="none"/>
                <w:u w:val="none"/>
                <w:lang w:val="en-US" w:eastAsia="zh-CN" w:bidi="ar"/>
              </w:rPr>
              <w:t>指标分值权重</w:t>
            </w:r>
          </w:p>
        </w:tc>
        <w:tc>
          <w:tcPr>
            <w:tcW w:w="8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C70021">
            <w:pPr>
              <w:keepNext w:val="0"/>
              <w:keepLines w:val="0"/>
              <w:pageBreakBefore w:val="0"/>
              <w:widowControl/>
              <w:suppressLineNumbers w:val="0"/>
              <w:kinsoku/>
              <w:wordWrap/>
              <w:overflowPunct/>
              <w:topLinePunct w:val="0"/>
              <w:autoSpaceDE/>
              <w:autoSpaceDN/>
              <w:bidi w:val="0"/>
              <w:adjustRightInd/>
              <w:snapToGrid/>
              <w:spacing w:line="380" w:lineRule="exact"/>
              <w:jc w:val="center"/>
              <w:textAlignment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kern w:val="0"/>
                <w:sz w:val="18"/>
                <w:szCs w:val="18"/>
                <w:highlight w:val="none"/>
                <w:u w:val="none"/>
                <w:lang w:val="en-US" w:eastAsia="zh-CN" w:bidi="ar"/>
              </w:rPr>
              <w:t>指标赋分规则</w:t>
            </w:r>
          </w:p>
        </w:tc>
        <w:tc>
          <w:tcPr>
            <w:tcW w:w="7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D1245A">
            <w:pPr>
              <w:keepNext w:val="0"/>
              <w:keepLines w:val="0"/>
              <w:pageBreakBefore w:val="0"/>
              <w:widowControl/>
              <w:suppressLineNumbers w:val="0"/>
              <w:kinsoku/>
              <w:wordWrap/>
              <w:overflowPunct/>
              <w:topLinePunct w:val="0"/>
              <w:autoSpaceDE/>
              <w:autoSpaceDN/>
              <w:bidi w:val="0"/>
              <w:adjustRightInd/>
              <w:snapToGrid/>
              <w:spacing w:line="380" w:lineRule="exact"/>
              <w:jc w:val="center"/>
              <w:textAlignment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kern w:val="0"/>
                <w:sz w:val="18"/>
                <w:szCs w:val="18"/>
                <w:highlight w:val="none"/>
                <w:u w:val="none"/>
                <w:lang w:val="en-US" w:eastAsia="zh-CN" w:bidi="ar"/>
              </w:rPr>
              <w:t>佐证资料</w:t>
            </w:r>
          </w:p>
        </w:tc>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03749C">
            <w:pPr>
              <w:keepNext w:val="0"/>
              <w:keepLines w:val="0"/>
              <w:pageBreakBefore w:val="0"/>
              <w:widowControl/>
              <w:suppressLineNumbers w:val="0"/>
              <w:kinsoku/>
              <w:wordWrap/>
              <w:overflowPunct/>
              <w:topLinePunct w:val="0"/>
              <w:autoSpaceDE/>
              <w:autoSpaceDN/>
              <w:bidi w:val="0"/>
              <w:adjustRightInd/>
              <w:snapToGrid/>
              <w:spacing w:line="380" w:lineRule="exact"/>
              <w:jc w:val="center"/>
              <w:textAlignment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kern w:val="0"/>
                <w:sz w:val="18"/>
                <w:szCs w:val="18"/>
                <w:highlight w:val="none"/>
                <w:u w:val="none"/>
                <w:lang w:val="en-US" w:eastAsia="zh-CN" w:bidi="ar"/>
              </w:rPr>
              <w:t>指标实际完成值</w:t>
            </w:r>
          </w:p>
        </w:tc>
        <w:tc>
          <w:tcPr>
            <w:tcW w:w="8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753693">
            <w:pPr>
              <w:keepNext w:val="0"/>
              <w:keepLines w:val="0"/>
              <w:pageBreakBefore w:val="0"/>
              <w:widowControl/>
              <w:suppressLineNumbers w:val="0"/>
              <w:kinsoku/>
              <w:wordWrap/>
              <w:overflowPunct/>
              <w:topLinePunct w:val="0"/>
              <w:autoSpaceDE/>
              <w:autoSpaceDN/>
              <w:bidi w:val="0"/>
              <w:adjustRightInd/>
              <w:snapToGrid/>
              <w:spacing w:line="380" w:lineRule="exact"/>
              <w:jc w:val="center"/>
              <w:textAlignment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kern w:val="0"/>
                <w:sz w:val="18"/>
                <w:szCs w:val="18"/>
                <w:highlight w:val="none"/>
                <w:u w:val="none"/>
                <w:lang w:val="en-US" w:eastAsia="zh-CN" w:bidi="ar"/>
              </w:rPr>
              <w:t>完成率</w:t>
            </w:r>
          </w:p>
        </w:tc>
        <w:tc>
          <w:tcPr>
            <w:tcW w:w="7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405BA3">
            <w:pPr>
              <w:keepNext w:val="0"/>
              <w:keepLines w:val="0"/>
              <w:pageBreakBefore w:val="0"/>
              <w:widowControl/>
              <w:suppressLineNumbers w:val="0"/>
              <w:kinsoku/>
              <w:wordWrap/>
              <w:overflowPunct/>
              <w:topLinePunct w:val="0"/>
              <w:autoSpaceDE/>
              <w:autoSpaceDN/>
              <w:bidi w:val="0"/>
              <w:adjustRightInd/>
              <w:snapToGrid/>
              <w:spacing w:line="380" w:lineRule="exact"/>
              <w:jc w:val="center"/>
              <w:textAlignment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kern w:val="0"/>
                <w:sz w:val="18"/>
                <w:szCs w:val="18"/>
                <w:highlight w:val="none"/>
                <w:u w:val="none"/>
                <w:lang w:val="en-US" w:eastAsia="zh-CN" w:bidi="ar"/>
              </w:rPr>
              <w:t>指标得分</w:t>
            </w:r>
          </w:p>
        </w:tc>
        <w:tc>
          <w:tcPr>
            <w:tcW w:w="12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A42D87">
            <w:pPr>
              <w:keepNext w:val="0"/>
              <w:keepLines w:val="0"/>
              <w:pageBreakBefore w:val="0"/>
              <w:widowControl/>
              <w:suppressLineNumbers w:val="0"/>
              <w:kinsoku/>
              <w:wordWrap/>
              <w:overflowPunct/>
              <w:topLinePunct w:val="0"/>
              <w:autoSpaceDE/>
              <w:autoSpaceDN/>
              <w:bidi w:val="0"/>
              <w:adjustRightInd/>
              <w:snapToGrid/>
              <w:spacing w:line="380" w:lineRule="exact"/>
              <w:jc w:val="center"/>
              <w:textAlignment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kern w:val="0"/>
                <w:sz w:val="18"/>
                <w:szCs w:val="18"/>
                <w:highlight w:val="none"/>
                <w:u w:val="none"/>
                <w:lang w:val="en-US" w:eastAsia="zh-CN" w:bidi="ar"/>
              </w:rPr>
              <w:t>偏差原因分析及改进措施</w:t>
            </w:r>
          </w:p>
        </w:tc>
      </w:tr>
      <w:tr w14:paraId="111F9E3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91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C026136">
            <w:pPr>
              <w:keepNext w:val="0"/>
              <w:keepLines w:val="0"/>
              <w:pageBreakBefore w:val="0"/>
              <w:kinsoku/>
              <w:wordWrap/>
              <w:overflowPunct/>
              <w:topLinePunct w:val="0"/>
              <w:autoSpaceDE/>
              <w:autoSpaceDN/>
              <w:bidi w:val="0"/>
              <w:adjustRightInd/>
              <w:snapToGrid/>
              <w:spacing w:line="380" w:lineRule="exact"/>
              <w:jc w:val="center"/>
              <w:rPr>
                <w:rFonts w:hint="eastAsia" w:ascii="仿宋_GB2312" w:hAnsi="仿宋_GB2312" w:eastAsia="仿宋_GB2312" w:cs="仿宋_GB2312"/>
                <w:i w:val="0"/>
                <w:iCs w:val="0"/>
                <w:color w:val="000000"/>
                <w:sz w:val="18"/>
                <w:szCs w:val="18"/>
                <w:highlight w:val="none"/>
                <w:u w:val="none"/>
              </w:rPr>
            </w:pPr>
          </w:p>
        </w:tc>
        <w:tc>
          <w:tcPr>
            <w:tcW w:w="1292"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7D2D8B">
            <w:pPr>
              <w:keepNext w:val="0"/>
              <w:keepLines w:val="0"/>
              <w:pageBreakBefore w:val="0"/>
              <w:widowControl/>
              <w:suppressLineNumbers w:val="0"/>
              <w:kinsoku/>
              <w:wordWrap/>
              <w:overflowPunct/>
              <w:topLinePunct w:val="0"/>
              <w:autoSpaceDE/>
              <w:autoSpaceDN/>
              <w:bidi w:val="0"/>
              <w:adjustRightInd/>
              <w:snapToGrid/>
              <w:spacing w:line="380" w:lineRule="exact"/>
              <w:jc w:val="center"/>
              <w:textAlignment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kern w:val="0"/>
                <w:sz w:val="18"/>
                <w:szCs w:val="18"/>
                <w:highlight w:val="none"/>
                <w:u w:val="none"/>
                <w:lang w:val="en-US" w:eastAsia="zh-CN" w:bidi="ar"/>
              </w:rPr>
              <w:t>产出指标</w:t>
            </w:r>
          </w:p>
        </w:tc>
        <w:tc>
          <w:tcPr>
            <w:tcW w:w="1312" w:type="dxa"/>
            <w:tcBorders>
              <w:top w:val="single" w:color="000000" w:sz="4" w:space="0"/>
              <w:left w:val="single" w:color="000000" w:sz="4" w:space="0"/>
              <w:bottom w:val="nil"/>
              <w:right w:val="single" w:color="000000" w:sz="4" w:space="0"/>
            </w:tcBorders>
            <w:shd w:val="clear" w:color="auto" w:fill="auto"/>
            <w:noWrap/>
            <w:vAlign w:val="center"/>
          </w:tcPr>
          <w:p w14:paraId="16708A21">
            <w:pPr>
              <w:keepNext w:val="0"/>
              <w:keepLines w:val="0"/>
              <w:pageBreakBefore w:val="0"/>
              <w:widowControl/>
              <w:suppressLineNumbers w:val="0"/>
              <w:kinsoku/>
              <w:wordWrap/>
              <w:overflowPunct/>
              <w:topLinePunct w:val="0"/>
              <w:autoSpaceDE/>
              <w:autoSpaceDN/>
              <w:bidi w:val="0"/>
              <w:adjustRightInd/>
              <w:snapToGrid/>
              <w:spacing w:line="380" w:lineRule="exact"/>
              <w:jc w:val="center"/>
              <w:textAlignment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kern w:val="0"/>
                <w:sz w:val="18"/>
                <w:szCs w:val="18"/>
                <w:highlight w:val="none"/>
                <w:u w:val="none"/>
                <w:lang w:val="en-US" w:eastAsia="zh-CN" w:bidi="ar"/>
              </w:rPr>
              <w:t>数量指标</w:t>
            </w:r>
          </w:p>
        </w:tc>
        <w:tc>
          <w:tcPr>
            <w:tcW w:w="1032" w:type="dxa"/>
            <w:tcBorders>
              <w:top w:val="single" w:color="000000" w:sz="4" w:space="0"/>
              <w:left w:val="nil"/>
              <w:bottom w:val="single" w:color="000000" w:sz="4" w:space="0"/>
              <w:right w:val="single" w:color="000000" w:sz="4" w:space="0"/>
            </w:tcBorders>
            <w:shd w:val="clear" w:color="auto" w:fill="auto"/>
            <w:vAlign w:val="center"/>
          </w:tcPr>
          <w:p w14:paraId="4CAFFAFD">
            <w:pPr>
              <w:keepNext w:val="0"/>
              <w:keepLines w:val="0"/>
              <w:pageBreakBefore w:val="0"/>
              <w:kinsoku/>
              <w:wordWrap/>
              <w:overflowPunct/>
              <w:topLinePunct w:val="0"/>
              <w:autoSpaceDE/>
              <w:autoSpaceDN/>
              <w:bidi w:val="0"/>
              <w:adjustRightInd/>
              <w:snapToGrid/>
              <w:spacing w:line="380" w:lineRule="exact"/>
              <w:jc w:val="center"/>
              <w:rPr>
                <w:rFonts w:hint="eastAsia" w:ascii="仿宋_GB2312" w:hAnsi="仿宋_GB2312" w:eastAsia="仿宋_GB2312" w:cs="仿宋_GB2312"/>
                <w:i w:val="0"/>
                <w:iCs w:val="0"/>
                <w:color w:val="000000"/>
                <w:sz w:val="18"/>
                <w:szCs w:val="18"/>
                <w:highlight w:val="none"/>
                <w:u w:val="none"/>
                <w:lang w:val="en-US" w:eastAsia="zh-CN"/>
              </w:rPr>
            </w:pPr>
            <w:r>
              <w:rPr>
                <w:rFonts w:hint="eastAsia" w:ascii="仿宋_GB2312" w:hAnsi="仿宋_GB2312" w:eastAsia="仿宋_GB2312" w:cs="仿宋_GB2312"/>
                <w:i w:val="0"/>
                <w:iCs w:val="0"/>
                <w:color w:val="000000"/>
                <w:sz w:val="18"/>
                <w:szCs w:val="18"/>
                <w:highlight w:val="none"/>
                <w:u w:val="none"/>
                <w:lang w:val="en-US" w:eastAsia="zh-CN"/>
              </w:rPr>
              <w:t>新一轮退耕还林延长期补助面积（万亩）</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936845">
            <w:pPr>
              <w:keepNext w:val="0"/>
              <w:keepLines w:val="0"/>
              <w:pageBreakBefore w:val="0"/>
              <w:kinsoku/>
              <w:wordWrap/>
              <w:overflowPunct/>
              <w:topLinePunct w:val="0"/>
              <w:autoSpaceDE/>
              <w:autoSpaceDN/>
              <w:bidi w:val="0"/>
              <w:adjustRightInd/>
              <w:snapToGrid/>
              <w:spacing w:line="380" w:lineRule="exact"/>
              <w:jc w:val="center"/>
              <w:rPr>
                <w:rFonts w:hint="eastAsia" w:ascii="仿宋_GB2312" w:hAnsi="仿宋_GB2312" w:eastAsia="仿宋_GB2312" w:cs="仿宋_GB2312"/>
                <w:i w:val="0"/>
                <w:iCs w:val="0"/>
                <w:color w:val="000000"/>
                <w:sz w:val="18"/>
                <w:szCs w:val="18"/>
                <w:highlight w:val="none"/>
                <w:u w:val="none"/>
                <w:lang w:val="en-US" w:eastAsia="zh-CN"/>
              </w:rPr>
            </w:pPr>
            <w:r>
              <w:rPr>
                <w:rFonts w:hint="eastAsia" w:ascii="仿宋_GB2312" w:hAnsi="仿宋_GB2312" w:eastAsia="仿宋_GB2312" w:cs="仿宋_GB2312"/>
                <w:i w:val="0"/>
                <w:iCs w:val="0"/>
                <w:color w:val="000000"/>
                <w:sz w:val="18"/>
                <w:szCs w:val="18"/>
                <w:highlight w:val="none"/>
                <w:u w:val="none"/>
                <w:lang w:val="en-US" w:eastAsia="zh-CN"/>
              </w:rPr>
              <w:t>=13.63万亩</w:t>
            </w:r>
          </w:p>
        </w:tc>
        <w:tc>
          <w:tcPr>
            <w:tcW w:w="11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C65488">
            <w:pPr>
              <w:keepNext w:val="0"/>
              <w:keepLines w:val="0"/>
              <w:pageBreakBefore w:val="0"/>
              <w:kinsoku/>
              <w:wordWrap/>
              <w:overflowPunct/>
              <w:topLinePunct w:val="0"/>
              <w:autoSpaceDE/>
              <w:autoSpaceDN/>
              <w:bidi w:val="0"/>
              <w:adjustRightInd/>
              <w:snapToGrid/>
              <w:spacing w:line="380" w:lineRule="exact"/>
              <w:jc w:val="center"/>
              <w:rPr>
                <w:rFonts w:hint="default" w:ascii="仿宋_GB2312" w:hAnsi="仿宋_GB2312" w:eastAsia="仿宋_GB2312" w:cs="仿宋_GB2312"/>
                <w:i w:val="0"/>
                <w:iCs w:val="0"/>
                <w:color w:val="000000"/>
                <w:sz w:val="18"/>
                <w:szCs w:val="18"/>
                <w:highlight w:val="none"/>
                <w:u w:val="none"/>
                <w:lang w:val="en-US" w:eastAsia="zh-CN"/>
              </w:rPr>
            </w:pPr>
            <w:r>
              <w:rPr>
                <w:rFonts w:hint="eastAsia" w:ascii="仿宋_GB2312" w:hAnsi="仿宋_GB2312" w:eastAsia="仿宋_GB2312" w:cs="仿宋_GB2312"/>
                <w:i w:val="0"/>
                <w:iCs w:val="0"/>
                <w:color w:val="000000"/>
                <w:sz w:val="18"/>
                <w:szCs w:val="18"/>
                <w:highlight w:val="none"/>
                <w:u w:val="none"/>
                <w:lang w:val="en-US" w:eastAsia="zh-CN"/>
              </w:rPr>
              <w:t>计划标准</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7360F8">
            <w:pPr>
              <w:keepNext w:val="0"/>
              <w:keepLines w:val="0"/>
              <w:pageBreakBefore w:val="0"/>
              <w:kinsoku/>
              <w:wordWrap/>
              <w:overflowPunct/>
              <w:topLinePunct w:val="0"/>
              <w:autoSpaceDE/>
              <w:autoSpaceDN/>
              <w:bidi w:val="0"/>
              <w:adjustRightInd/>
              <w:snapToGrid/>
              <w:spacing w:line="380" w:lineRule="exact"/>
              <w:jc w:val="center"/>
              <w:rPr>
                <w:rFonts w:hint="eastAsia" w:ascii="仿宋_GB2312" w:hAnsi="仿宋_GB2312" w:eastAsia="仿宋_GB2312" w:cs="仿宋_GB2312"/>
                <w:i w:val="0"/>
                <w:iCs w:val="0"/>
                <w:color w:val="000000"/>
                <w:sz w:val="18"/>
                <w:szCs w:val="18"/>
                <w:highlight w:val="none"/>
                <w:u w:val="none"/>
                <w:lang w:val="en-US" w:eastAsia="zh-CN"/>
              </w:rPr>
            </w:pPr>
          </w:p>
        </w:tc>
        <w:tc>
          <w:tcPr>
            <w:tcW w:w="8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D99C88">
            <w:pPr>
              <w:keepNext w:val="0"/>
              <w:keepLines w:val="0"/>
              <w:pageBreakBefore w:val="0"/>
              <w:kinsoku/>
              <w:wordWrap/>
              <w:overflowPunct/>
              <w:topLinePunct w:val="0"/>
              <w:autoSpaceDE/>
              <w:autoSpaceDN/>
              <w:bidi w:val="0"/>
              <w:adjustRightInd/>
              <w:snapToGrid/>
              <w:spacing w:line="380" w:lineRule="exact"/>
              <w:jc w:val="center"/>
              <w:rPr>
                <w:rFonts w:hint="default" w:ascii="仿宋_GB2312" w:hAnsi="仿宋_GB2312" w:eastAsia="仿宋_GB2312" w:cs="仿宋_GB2312"/>
                <w:i w:val="0"/>
                <w:iCs w:val="0"/>
                <w:color w:val="000000"/>
                <w:sz w:val="18"/>
                <w:szCs w:val="18"/>
                <w:highlight w:val="none"/>
                <w:u w:val="none"/>
                <w:lang w:val="en-US" w:eastAsia="zh-CN"/>
              </w:rPr>
            </w:pPr>
            <w:r>
              <w:rPr>
                <w:rFonts w:hint="eastAsia" w:ascii="仿宋_GB2312" w:hAnsi="仿宋_GB2312" w:eastAsia="仿宋_GB2312" w:cs="仿宋_GB2312"/>
                <w:i w:val="0"/>
                <w:iCs w:val="0"/>
                <w:color w:val="000000"/>
                <w:sz w:val="18"/>
                <w:szCs w:val="18"/>
                <w:highlight w:val="none"/>
                <w:u w:val="none"/>
                <w:lang w:val="en-US" w:eastAsia="zh-CN"/>
              </w:rPr>
              <w:t>20</w:t>
            </w:r>
          </w:p>
        </w:tc>
        <w:tc>
          <w:tcPr>
            <w:tcW w:w="8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D87C3D">
            <w:pPr>
              <w:keepNext w:val="0"/>
              <w:keepLines w:val="0"/>
              <w:pageBreakBefore w:val="0"/>
              <w:kinsoku/>
              <w:wordWrap/>
              <w:overflowPunct/>
              <w:topLinePunct w:val="0"/>
              <w:autoSpaceDE/>
              <w:autoSpaceDN/>
              <w:bidi w:val="0"/>
              <w:adjustRightInd/>
              <w:snapToGrid/>
              <w:spacing w:line="380" w:lineRule="exact"/>
              <w:jc w:val="center"/>
              <w:rPr>
                <w:rFonts w:hint="default" w:ascii="仿宋_GB2312" w:hAnsi="仿宋_GB2312" w:eastAsia="仿宋_GB2312" w:cs="仿宋_GB2312"/>
                <w:i w:val="0"/>
                <w:iCs w:val="0"/>
                <w:color w:val="000000"/>
                <w:sz w:val="18"/>
                <w:szCs w:val="18"/>
                <w:highlight w:val="none"/>
                <w:u w:val="none"/>
                <w:lang w:val="en-US" w:eastAsia="zh-CN"/>
              </w:rPr>
            </w:pPr>
            <w:r>
              <w:rPr>
                <w:rFonts w:hint="eastAsia" w:ascii="仿宋_GB2312" w:hAnsi="仿宋_GB2312" w:eastAsia="仿宋_GB2312" w:cs="仿宋_GB2312"/>
                <w:i w:val="0"/>
                <w:iCs w:val="0"/>
                <w:color w:val="000000"/>
                <w:sz w:val="18"/>
                <w:szCs w:val="18"/>
                <w:highlight w:val="none"/>
                <w:u w:val="none"/>
                <w:lang w:val="en-US" w:eastAsia="zh-CN"/>
              </w:rPr>
              <w:t>按照完成比</w:t>
            </w:r>
          </w:p>
        </w:tc>
        <w:tc>
          <w:tcPr>
            <w:tcW w:w="7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5B76C6">
            <w:pPr>
              <w:keepNext w:val="0"/>
              <w:keepLines w:val="0"/>
              <w:pageBreakBefore w:val="0"/>
              <w:kinsoku/>
              <w:wordWrap/>
              <w:overflowPunct/>
              <w:topLinePunct w:val="0"/>
              <w:autoSpaceDE/>
              <w:autoSpaceDN/>
              <w:bidi w:val="0"/>
              <w:adjustRightInd/>
              <w:snapToGrid/>
              <w:spacing w:line="380" w:lineRule="exact"/>
              <w:jc w:val="center"/>
              <w:rPr>
                <w:rFonts w:hint="default" w:ascii="仿宋_GB2312" w:hAnsi="仿宋_GB2312" w:eastAsia="仿宋_GB2312" w:cs="仿宋_GB2312"/>
                <w:i w:val="0"/>
                <w:iCs w:val="0"/>
                <w:color w:val="000000"/>
                <w:sz w:val="18"/>
                <w:szCs w:val="18"/>
                <w:highlight w:val="none"/>
                <w:u w:val="none"/>
                <w:lang w:val="en-US" w:eastAsia="zh-CN"/>
              </w:rPr>
            </w:pPr>
            <w:r>
              <w:rPr>
                <w:rFonts w:hint="eastAsia" w:ascii="仿宋_GB2312" w:hAnsi="仿宋_GB2312" w:eastAsia="仿宋_GB2312" w:cs="仿宋_GB2312"/>
                <w:i w:val="0"/>
                <w:iCs w:val="0"/>
                <w:color w:val="000000"/>
                <w:sz w:val="18"/>
                <w:szCs w:val="18"/>
                <w:highlight w:val="none"/>
                <w:u w:val="none"/>
                <w:lang w:val="en-US" w:eastAsia="zh-CN"/>
              </w:rPr>
              <w:t>正式资料</w:t>
            </w:r>
          </w:p>
        </w:tc>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58BF42">
            <w:pPr>
              <w:keepNext w:val="0"/>
              <w:keepLines w:val="0"/>
              <w:pageBreakBefore w:val="0"/>
              <w:kinsoku/>
              <w:wordWrap/>
              <w:overflowPunct/>
              <w:topLinePunct w:val="0"/>
              <w:autoSpaceDE/>
              <w:autoSpaceDN/>
              <w:bidi w:val="0"/>
              <w:adjustRightInd/>
              <w:snapToGrid/>
              <w:spacing w:line="380" w:lineRule="exact"/>
              <w:jc w:val="center"/>
              <w:rPr>
                <w:rFonts w:hint="eastAsia" w:ascii="仿宋_GB2312" w:hAnsi="仿宋_GB2312" w:eastAsia="仿宋_GB2312" w:cs="仿宋_GB2312"/>
                <w:i w:val="0"/>
                <w:iCs w:val="0"/>
                <w:color w:val="000000"/>
                <w:sz w:val="18"/>
                <w:szCs w:val="18"/>
                <w:highlight w:val="none"/>
                <w:u w:val="none"/>
                <w:lang w:val="en-US" w:eastAsia="zh-CN"/>
              </w:rPr>
            </w:pPr>
            <w:r>
              <w:rPr>
                <w:rFonts w:hint="eastAsia" w:ascii="仿宋_GB2312" w:hAnsi="仿宋_GB2312" w:eastAsia="仿宋_GB2312" w:cs="仿宋_GB2312"/>
                <w:i w:val="0"/>
                <w:iCs w:val="0"/>
                <w:color w:val="000000"/>
                <w:sz w:val="18"/>
                <w:szCs w:val="18"/>
                <w:highlight w:val="none"/>
                <w:u w:val="none"/>
                <w:lang w:val="en-US" w:eastAsia="zh-CN"/>
              </w:rPr>
              <w:t>13.63万亩</w:t>
            </w:r>
          </w:p>
        </w:tc>
        <w:tc>
          <w:tcPr>
            <w:tcW w:w="8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51CC65">
            <w:pPr>
              <w:keepNext w:val="0"/>
              <w:keepLines w:val="0"/>
              <w:pageBreakBefore w:val="0"/>
              <w:kinsoku/>
              <w:wordWrap/>
              <w:overflowPunct/>
              <w:topLinePunct w:val="0"/>
              <w:autoSpaceDE/>
              <w:autoSpaceDN/>
              <w:bidi w:val="0"/>
              <w:adjustRightInd/>
              <w:snapToGrid/>
              <w:spacing w:line="380" w:lineRule="exact"/>
              <w:jc w:val="center"/>
              <w:rPr>
                <w:rFonts w:hint="default" w:ascii="仿宋_GB2312" w:hAnsi="仿宋_GB2312" w:eastAsia="仿宋_GB2312" w:cs="仿宋_GB2312"/>
                <w:i w:val="0"/>
                <w:iCs w:val="0"/>
                <w:color w:val="000000"/>
                <w:sz w:val="18"/>
                <w:szCs w:val="18"/>
                <w:highlight w:val="none"/>
                <w:u w:val="none"/>
                <w:lang w:val="en-US" w:eastAsia="zh-CN"/>
              </w:rPr>
            </w:pPr>
            <w:r>
              <w:rPr>
                <w:rFonts w:hint="eastAsia" w:ascii="仿宋_GB2312" w:hAnsi="仿宋_GB2312" w:eastAsia="仿宋_GB2312" w:cs="仿宋_GB2312"/>
                <w:i w:val="0"/>
                <w:iCs w:val="0"/>
                <w:color w:val="000000"/>
                <w:sz w:val="18"/>
                <w:szCs w:val="18"/>
                <w:highlight w:val="none"/>
                <w:u w:val="none"/>
                <w:lang w:val="en-US" w:eastAsia="zh-CN"/>
              </w:rPr>
              <w:t>100%</w:t>
            </w:r>
          </w:p>
        </w:tc>
        <w:tc>
          <w:tcPr>
            <w:tcW w:w="7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4A6AAF">
            <w:pPr>
              <w:keepNext w:val="0"/>
              <w:keepLines w:val="0"/>
              <w:pageBreakBefore w:val="0"/>
              <w:kinsoku/>
              <w:wordWrap/>
              <w:overflowPunct/>
              <w:topLinePunct w:val="0"/>
              <w:autoSpaceDE/>
              <w:autoSpaceDN/>
              <w:bidi w:val="0"/>
              <w:adjustRightInd/>
              <w:snapToGrid/>
              <w:spacing w:line="380" w:lineRule="exact"/>
              <w:jc w:val="center"/>
              <w:rPr>
                <w:rFonts w:hint="default" w:ascii="仿宋_GB2312" w:hAnsi="仿宋_GB2312" w:eastAsia="仿宋_GB2312" w:cs="仿宋_GB2312"/>
                <w:i w:val="0"/>
                <w:iCs w:val="0"/>
                <w:color w:val="000000"/>
                <w:sz w:val="18"/>
                <w:szCs w:val="18"/>
                <w:highlight w:val="none"/>
                <w:u w:val="none"/>
                <w:lang w:val="en-US" w:eastAsia="zh-CN"/>
              </w:rPr>
            </w:pPr>
            <w:r>
              <w:rPr>
                <w:rFonts w:hint="eastAsia" w:ascii="仿宋_GB2312" w:hAnsi="仿宋_GB2312" w:eastAsia="仿宋_GB2312" w:cs="仿宋_GB2312"/>
                <w:i w:val="0"/>
                <w:iCs w:val="0"/>
                <w:color w:val="000000"/>
                <w:sz w:val="18"/>
                <w:szCs w:val="18"/>
                <w:highlight w:val="none"/>
                <w:u w:val="none"/>
                <w:lang w:val="en-US" w:eastAsia="zh-CN"/>
              </w:rPr>
              <w:t>20</w:t>
            </w:r>
          </w:p>
        </w:tc>
        <w:tc>
          <w:tcPr>
            <w:tcW w:w="12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18E9FF">
            <w:pPr>
              <w:keepNext w:val="0"/>
              <w:keepLines w:val="0"/>
              <w:pageBreakBefore w:val="0"/>
              <w:kinsoku/>
              <w:wordWrap/>
              <w:overflowPunct/>
              <w:topLinePunct w:val="0"/>
              <w:autoSpaceDE/>
              <w:autoSpaceDN/>
              <w:bidi w:val="0"/>
              <w:adjustRightInd/>
              <w:snapToGrid/>
              <w:spacing w:line="380" w:lineRule="exact"/>
              <w:jc w:val="center"/>
              <w:rPr>
                <w:rFonts w:hint="eastAsia" w:ascii="仿宋_GB2312" w:hAnsi="仿宋_GB2312" w:eastAsia="仿宋_GB2312" w:cs="仿宋_GB2312"/>
                <w:i w:val="0"/>
                <w:iCs w:val="0"/>
                <w:color w:val="000000"/>
                <w:sz w:val="18"/>
                <w:szCs w:val="18"/>
                <w:highlight w:val="none"/>
                <w:u w:val="none"/>
              </w:rPr>
            </w:pPr>
          </w:p>
        </w:tc>
      </w:tr>
      <w:tr w14:paraId="7C1BEA3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7" w:hRule="atLeast"/>
        </w:trPr>
        <w:tc>
          <w:tcPr>
            <w:tcW w:w="91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27CDF95">
            <w:pPr>
              <w:keepNext w:val="0"/>
              <w:keepLines w:val="0"/>
              <w:pageBreakBefore w:val="0"/>
              <w:kinsoku/>
              <w:wordWrap/>
              <w:overflowPunct/>
              <w:topLinePunct w:val="0"/>
              <w:autoSpaceDE/>
              <w:autoSpaceDN/>
              <w:bidi w:val="0"/>
              <w:adjustRightInd/>
              <w:snapToGrid/>
              <w:spacing w:line="380" w:lineRule="exact"/>
              <w:jc w:val="center"/>
              <w:rPr>
                <w:rFonts w:hint="eastAsia" w:ascii="仿宋_GB2312" w:hAnsi="仿宋_GB2312" w:eastAsia="仿宋_GB2312" w:cs="仿宋_GB2312"/>
                <w:i w:val="0"/>
                <w:iCs w:val="0"/>
                <w:color w:val="000000"/>
                <w:sz w:val="18"/>
                <w:szCs w:val="18"/>
                <w:highlight w:val="none"/>
                <w:u w:val="none"/>
              </w:rPr>
            </w:pPr>
          </w:p>
        </w:tc>
        <w:tc>
          <w:tcPr>
            <w:tcW w:w="1292"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6C80CC">
            <w:pPr>
              <w:keepNext w:val="0"/>
              <w:keepLines w:val="0"/>
              <w:pageBreakBefore w:val="0"/>
              <w:kinsoku/>
              <w:wordWrap/>
              <w:overflowPunct/>
              <w:topLinePunct w:val="0"/>
              <w:autoSpaceDE/>
              <w:autoSpaceDN/>
              <w:bidi w:val="0"/>
              <w:adjustRightInd/>
              <w:snapToGrid/>
              <w:spacing w:line="380" w:lineRule="exact"/>
              <w:jc w:val="center"/>
              <w:rPr>
                <w:rFonts w:hint="eastAsia" w:ascii="仿宋_GB2312" w:hAnsi="仿宋_GB2312" w:eastAsia="仿宋_GB2312" w:cs="仿宋_GB2312"/>
                <w:i w:val="0"/>
                <w:iCs w:val="0"/>
                <w:color w:val="000000"/>
                <w:sz w:val="18"/>
                <w:szCs w:val="18"/>
                <w:highlight w:val="none"/>
                <w:u w:val="none"/>
              </w:rPr>
            </w:pPr>
          </w:p>
        </w:tc>
        <w:tc>
          <w:tcPr>
            <w:tcW w:w="13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87C48D">
            <w:pPr>
              <w:keepNext w:val="0"/>
              <w:keepLines w:val="0"/>
              <w:pageBreakBefore w:val="0"/>
              <w:widowControl/>
              <w:suppressLineNumbers w:val="0"/>
              <w:kinsoku/>
              <w:wordWrap/>
              <w:overflowPunct/>
              <w:topLinePunct w:val="0"/>
              <w:autoSpaceDE/>
              <w:autoSpaceDN/>
              <w:bidi w:val="0"/>
              <w:adjustRightInd/>
              <w:snapToGrid/>
              <w:spacing w:line="380" w:lineRule="exact"/>
              <w:jc w:val="center"/>
              <w:textAlignment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kern w:val="0"/>
                <w:sz w:val="18"/>
                <w:szCs w:val="18"/>
                <w:highlight w:val="none"/>
                <w:u w:val="none"/>
                <w:lang w:val="en-US" w:eastAsia="zh-CN" w:bidi="ar"/>
              </w:rPr>
              <w:t>质量指标</w:t>
            </w:r>
          </w:p>
        </w:tc>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313CF3">
            <w:pPr>
              <w:keepNext w:val="0"/>
              <w:keepLines w:val="0"/>
              <w:pageBreakBefore w:val="0"/>
              <w:kinsoku/>
              <w:wordWrap/>
              <w:overflowPunct/>
              <w:topLinePunct w:val="0"/>
              <w:autoSpaceDE/>
              <w:autoSpaceDN/>
              <w:bidi w:val="0"/>
              <w:adjustRightInd/>
              <w:snapToGrid/>
              <w:spacing w:line="380" w:lineRule="exact"/>
              <w:jc w:val="center"/>
              <w:rPr>
                <w:rFonts w:hint="eastAsia" w:ascii="仿宋_GB2312" w:hAnsi="仿宋_GB2312" w:eastAsia="仿宋_GB2312" w:cs="仿宋_GB2312"/>
                <w:i w:val="0"/>
                <w:iCs w:val="0"/>
                <w:color w:val="000000"/>
                <w:sz w:val="18"/>
                <w:szCs w:val="18"/>
                <w:highlight w:val="none"/>
                <w:u w:val="none"/>
                <w:lang w:val="en-US" w:eastAsia="zh-CN"/>
              </w:rPr>
            </w:pPr>
            <w:r>
              <w:rPr>
                <w:rFonts w:hint="eastAsia" w:ascii="仿宋_GB2312" w:hAnsi="仿宋_GB2312" w:eastAsia="仿宋_GB2312" w:cs="仿宋_GB2312"/>
                <w:i w:val="0"/>
                <w:iCs w:val="0"/>
                <w:color w:val="000000"/>
                <w:sz w:val="18"/>
                <w:szCs w:val="18"/>
                <w:highlight w:val="none"/>
                <w:u w:val="none"/>
                <w:lang w:val="en-US" w:eastAsia="zh-CN"/>
              </w:rPr>
              <w:t>退耕还林验收合格率（%）</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766403">
            <w:pPr>
              <w:keepNext w:val="0"/>
              <w:keepLines w:val="0"/>
              <w:pageBreakBefore w:val="0"/>
              <w:kinsoku/>
              <w:wordWrap/>
              <w:overflowPunct/>
              <w:topLinePunct w:val="0"/>
              <w:autoSpaceDE/>
              <w:autoSpaceDN/>
              <w:bidi w:val="0"/>
              <w:adjustRightInd/>
              <w:snapToGrid/>
              <w:spacing w:line="380" w:lineRule="exact"/>
              <w:jc w:val="center"/>
              <w:rPr>
                <w:rFonts w:hint="eastAsia" w:ascii="仿宋_GB2312" w:hAnsi="仿宋_GB2312" w:eastAsia="仿宋_GB2312" w:cs="仿宋_GB2312"/>
                <w:i w:val="0"/>
                <w:iCs w:val="0"/>
                <w:color w:val="000000"/>
                <w:sz w:val="18"/>
                <w:szCs w:val="18"/>
                <w:highlight w:val="none"/>
                <w:u w:val="none"/>
                <w:lang w:val="en-US" w:eastAsia="zh-CN"/>
              </w:rPr>
            </w:pPr>
            <w:r>
              <w:rPr>
                <w:rFonts w:hint="eastAsia" w:ascii="仿宋_GB2312" w:hAnsi="仿宋_GB2312" w:eastAsia="仿宋_GB2312" w:cs="仿宋_GB2312"/>
                <w:i w:val="0"/>
                <w:iCs w:val="0"/>
                <w:color w:val="000000"/>
                <w:sz w:val="18"/>
                <w:szCs w:val="18"/>
                <w:highlight w:val="none"/>
                <w:u w:val="none"/>
                <w:lang w:val="en-US" w:eastAsia="zh-CN"/>
              </w:rPr>
              <w:t>&gt;=65%</w:t>
            </w:r>
          </w:p>
        </w:tc>
        <w:tc>
          <w:tcPr>
            <w:tcW w:w="11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1CD2E8">
            <w:pPr>
              <w:keepNext w:val="0"/>
              <w:keepLines w:val="0"/>
              <w:pageBreakBefore w:val="0"/>
              <w:kinsoku/>
              <w:wordWrap/>
              <w:overflowPunct/>
              <w:topLinePunct w:val="0"/>
              <w:autoSpaceDE/>
              <w:autoSpaceDN/>
              <w:bidi w:val="0"/>
              <w:adjustRightInd/>
              <w:snapToGrid/>
              <w:spacing w:line="380" w:lineRule="exact"/>
              <w:jc w:val="center"/>
              <w:rPr>
                <w:rFonts w:hint="eastAsia" w:ascii="仿宋_GB2312" w:hAnsi="仿宋_GB2312" w:eastAsia="仿宋_GB2312" w:cs="仿宋_GB2312"/>
                <w:i w:val="0"/>
                <w:iCs w:val="0"/>
                <w:color w:val="000000"/>
                <w:sz w:val="18"/>
                <w:szCs w:val="18"/>
                <w:highlight w:val="none"/>
                <w:u w:val="none"/>
                <w:lang w:val="en-US" w:eastAsia="zh-CN"/>
              </w:rPr>
            </w:pPr>
            <w:r>
              <w:rPr>
                <w:rFonts w:hint="eastAsia" w:ascii="仿宋_GB2312" w:hAnsi="仿宋_GB2312" w:eastAsia="仿宋_GB2312" w:cs="仿宋_GB2312"/>
                <w:i w:val="0"/>
                <w:iCs w:val="0"/>
                <w:color w:val="000000"/>
                <w:sz w:val="18"/>
                <w:szCs w:val="18"/>
                <w:highlight w:val="none"/>
                <w:u w:val="none"/>
                <w:lang w:val="en-US" w:eastAsia="zh-CN"/>
              </w:rPr>
              <w:t>计划标准</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E9C426">
            <w:pPr>
              <w:keepNext w:val="0"/>
              <w:keepLines w:val="0"/>
              <w:pageBreakBefore w:val="0"/>
              <w:kinsoku/>
              <w:wordWrap/>
              <w:overflowPunct/>
              <w:topLinePunct w:val="0"/>
              <w:autoSpaceDE/>
              <w:autoSpaceDN/>
              <w:bidi w:val="0"/>
              <w:adjustRightInd/>
              <w:snapToGrid/>
              <w:spacing w:line="380" w:lineRule="exact"/>
              <w:jc w:val="center"/>
              <w:rPr>
                <w:rFonts w:hint="eastAsia" w:ascii="仿宋_GB2312" w:hAnsi="仿宋_GB2312" w:eastAsia="仿宋_GB2312" w:cs="仿宋_GB2312"/>
                <w:i w:val="0"/>
                <w:iCs w:val="0"/>
                <w:color w:val="000000"/>
                <w:sz w:val="18"/>
                <w:szCs w:val="18"/>
                <w:highlight w:val="none"/>
                <w:u w:val="none"/>
                <w:lang w:val="en-US" w:eastAsia="zh-CN"/>
              </w:rPr>
            </w:pPr>
          </w:p>
        </w:tc>
        <w:tc>
          <w:tcPr>
            <w:tcW w:w="8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EE731B">
            <w:pPr>
              <w:keepNext w:val="0"/>
              <w:keepLines w:val="0"/>
              <w:pageBreakBefore w:val="0"/>
              <w:kinsoku/>
              <w:wordWrap/>
              <w:overflowPunct/>
              <w:topLinePunct w:val="0"/>
              <w:autoSpaceDE/>
              <w:autoSpaceDN/>
              <w:bidi w:val="0"/>
              <w:adjustRightInd/>
              <w:snapToGrid/>
              <w:spacing w:line="380" w:lineRule="exact"/>
              <w:jc w:val="center"/>
              <w:rPr>
                <w:rFonts w:hint="default" w:ascii="仿宋_GB2312" w:hAnsi="仿宋_GB2312" w:eastAsia="仿宋_GB2312" w:cs="仿宋_GB2312"/>
                <w:i w:val="0"/>
                <w:iCs w:val="0"/>
                <w:color w:val="000000"/>
                <w:sz w:val="18"/>
                <w:szCs w:val="18"/>
                <w:highlight w:val="none"/>
                <w:u w:val="none"/>
                <w:lang w:val="en-US" w:eastAsia="zh-CN"/>
              </w:rPr>
            </w:pPr>
            <w:r>
              <w:rPr>
                <w:rFonts w:hint="eastAsia" w:ascii="仿宋_GB2312" w:hAnsi="仿宋_GB2312" w:eastAsia="仿宋_GB2312" w:cs="仿宋_GB2312"/>
                <w:i w:val="0"/>
                <w:iCs w:val="0"/>
                <w:color w:val="000000"/>
                <w:sz w:val="18"/>
                <w:szCs w:val="18"/>
                <w:highlight w:val="none"/>
                <w:u w:val="none"/>
                <w:lang w:val="en-US" w:eastAsia="zh-CN"/>
              </w:rPr>
              <w:t>10</w:t>
            </w:r>
          </w:p>
        </w:tc>
        <w:tc>
          <w:tcPr>
            <w:tcW w:w="8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AD9105">
            <w:pPr>
              <w:keepNext w:val="0"/>
              <w:keepLines w:val="0"/>
              <w:pageBreakBefore w:val="0"/>
              <w:kinsoku/>
              <w:wordWrap/>
              <w:overflowPunct/>
              <w:topLinePunct w:val="0"/>
              <w:autoSpaceDE/>
              <w:autoSpaceDN/>
              <w:bidi w:val="0"/>
              <w:adjustRightInd/>
              <w:snapToGrid/>
              <w:spacing w:line="380" w:lineRule="exact"/>
              <w:jc w:val="center"/>
              <w:rPr>
                <w:rFonts w:hint="eastAsia" w:ascii="仿宋_GB2312" w:hAnsi="仿宋_GB2312" w:eastAsia="仿宋_GB2312" w:cs="仿宋_GB2312"/>
                <w:i w:val="0"/>
                <w:iCs w:val="0"/>
                <w:color w:val="000000"/>
                <w:sz w:val="18"/>
                <w:szCs w:val="18"/>
                <w:highlight w:val="none"/>
                <w:u w:val="none"/>
                <w:lang w:val="en-US" w:eastAsia="zh-CN"/>
              </w:rPr>
            </w:pPr>
            <w:r>
              <w:rPr>
                <w:rFonts w:hint="eastAsia" w:ascii="仿宋_GB2312" w:hAnsi="仿宋_GB2312" w:eastAsia="仿宋_GB2312" w:cs="仿宋_GB2312"/>
                <w:i w:val="0"/>
                <w:iCs w:val="0"/>
                <w:color w:val="000000"/>
                <w:sz w:val="18"/>
                <w:szCs w:val="18"/>
                <w:highlight w:val="none"/>
                <w:u w:val="none"/>
                <w:lang w:val="en-US" w:eastAsia="zh-CN"/>
              </w:rPr>
              <w:t>按照完成比</w:t>
            </w:r>
          </w:p>
        </w:tc>
        <w:tc>
          <w:tcPr>
            <w:tcW w:w="7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1864E6">
            <w:pPr>
              <w:keepNext w:val="0"/>
              <w:keepLines w:val="0"/>
              <w:pageBreakBefore w:val="0"/>
              <w:kinsoku/>
              <w:wordWrap/>
              <w:overflowPunct/>
              <w:topLinePunct w:val="0"/>
              <w:autoSpaceDE/>
              <w:autoSpaceDN/>
              <w:bidi w:val="0"/>
              <w:adjustRightInd/>
              <w:snapToGrid/>
              <w:spacing w:line="380" w:lineRule="exact"/>
              <w:jc w:val="center"/>
              <w:rPr>
                <w:rFonts w:hint="default" w:ascii="仿宋_GB2312" w:hAnsi="仿宋_GB2312" w:eastAsia="仿宋_GB2312" w:cs="仿宋_GB2312"/>
                <w:i w:val="0"/>
                <w:iCs w:val="0"/>
                <w:color w:val="000000"/>
                <w:sz w:val="18"/>
                <w:szCs w:val="18"/>
                <w:highlight w:val="none"/>
                <w:u w:val="none"/>
                <w:lang w:val="en-US" w:eastAsia="zh-CN"/>
              </w:rPr>
            </w:pPr>
            <w:r>
              <w:rPr>
                <w:rFonts w:hint="eastAsia" w:ascii="仿宋_GB2312" w:hAnsi="仿宋_GB2312" w:eastAsia="仿宋_GB2312" w:cs="仿宋_GB2312"/>
                <w:i w:val="0"/>
                <w:iCs w:val="0"/>
                <w:color w:val="000000"/>
                <w:sz w:val="18"/>
                <w:szCs w:val="18"/>
                <w:highlight w:val="none"/>
                <w:u w:val="none"/>
                <w:lang w:val="en-US" w:eastAsia="zh-CN"/>
              </w:rPr>
              <w:t>说明材料</w:t>
            </w:r>
          </w:p>
        </w:tc>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EA6EF0">
            <w:pPr>
              <w:keepNext w:val="0"/>
              <w:keepLines w:val="0"/>
              <w:pageBreakBefore w:val="0"/>
              <w:kinsoku/>
              <w:wordWrap/>
              <w:overflowPunct/>
              <w:topLinePunct w:val="0"/>
              <w:autoSpaceDE/>
              <w:autoSpaceDN/>
              <w:bidi w:val="0"/>
              <w:adjustRightInd/>
              <w:snapToGrid/>
              <w:spacing w:line="380" w:lineRule="exact"/>
              <w:jc w:val="center"/>
              <w:rPr>
                <w:rFonts w:hint="eastAsia" w:ascii="仿宋_GB2312" w:hAnsi="仿宋_GB2312" w:eastAsia="仿宋_GB2312" w:cs="仿宋_GB2312"/>
                <w:i w:val="0"/>
                <w:iCs w:val="0"/>
                <w:color w:val="000000"/>
                <w:sz w:val="18"/>
                <w:szCs w:val="18"/>
                <w:highlight w:val="none"/>
                <w:u w:val="none"/>
                <w:lang w:val="en-US" w:eastAsia="zh-CN"/>
              </w:rPr>
            </w:pPr>
            <w:r>
              <w:rPr>
                <w:rFonts w:hint="eastAsia" w:ascii="仿宋_GB2312" w:hAnsi="仿宋_GB2312" w:eastAsia="仿宋_GB2312" w:cs="仿宋_GB2312"/>
                <w:i w:val="0"/>
                <w:iCs w:val="0"/>
                <w:color w:val="000000"/>
                <w:sz w:val="18"/>
                <w:szCs w:val="18"/>
                <w:highlight w:val="none"/>
                <w:u w:val="none"/>
                <w:lang w:val="en-US" w:eastAsia="zh-CN"/>
              </w:rPr>
              <w:t>=65%</w:t>
            </w:r>
          </w:p>
        </w:tc>
        <w:tc>
          <w:tcPr>
            <w:tcW w:w="8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9BF83C">
            <w:pPr>
              <w:keepNext w:val="0"/>
              <w:keepLines w:val="0"/>
              <w:pageBreakBefore w:val="0"/>
              <w:kinsoku/>
              <w:wordWrap/>
              <w:overflowPunct/>
              <w:topLinePunct w:val="0"/>
              <w:autoSpaceDE/>
              <w:autoSpaceDN/>
              <w:bidi w:val="0"/>
              <w:adjustRightInd/>
              <w:snapToGrid/>
              <w:spacing w:line="380" w:lineRule="exact"/>
              <w:jc w:val="center"/>
              <w:rPr>
                <w:rFonts w:hint="default" w:ascii="仿宋_GB2312" w:hAnsi="仿宋_GB2312" w:eastAsia="仿宋_GB2312" w:cs="仿宋_GB2312"/>
                <w:i w:val="0"/>
                <w:iCs w:val="0"/>
                <w:color w:val="000000"/>
                <w:sz w:val="18"/>
                <w:szCs w:val="18"/>
                <w:highlight w:val="none"/>
                <w:u w:val="none"/>
                <w:lang w:val="en-US" w:eastAsia="zh-CN"/>
              </w:rPr>
            </w:pPr>
            <w:r>
              <w:rPr>
                <w:rFonts w:hint="eastAsia" w:ascii="仿宋_GB2312" w:hAnsi="仿宋_GB2312" w:eastAsia="仿宋_GB2312" w:cs="仿宋_GB2312"/>
                <w:i w:val="0"/>
                <w:iCs w:val="0"/>
                <w:color w:val="000000"/>
                <w:sz w:val="18"/>
                <w:szCs w:val="18"/>
                <w:highlight w:val="none"/>
                <w:u w:val="none"/>
                <w:lang w:val="en-US" w:eastAsia="zh-CN"/>
              </w:rPr>
              <w:t>100%</w:t>
            </w:r>
          </w:p>
        </w:tc>
        <w:tc>
          <w:tcPr>
            <w:tcW w:w="7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0DF081">
            <w:pPr>
              <w:keepNext w:val="0"/>
              <w:keepLines w:val="0"/>
              <w:pageBreakBefore w:val="0"/>
              <w:kinsoku/>
              <w:wordWrap/>
              <w:overflowPunct/>
              <w:topLinePunct w:val="0"/>
              <w:autoSpaceDE/>
              <w:autoSpaceDN/>
              <w:bidi w:val="0"/>
              <w:adjustRightInd/>
              <w:snapToGrid/>
              <w:spacing w:line="380" w:lineRule="exact"/>
              <w:jc w:val="center"/>
              <w:rPr>
                <w:rFonts w:hint="default" w:ascii="仿宋_GB2312" w:hAnsi="仿宋_GB2312" w:eastAsia="仿宋_GB2312" w:cs="仿宋_GB2312"/>
                <w:i w:val="0"/>
                <w:iCs w:val="0"/>
                <w:color w:val="000000"/>
                <w:sz w:val="18"/>
                <w:szCs w:val="18"/>
                <w:highlight w:val="none"/>
                <w:u w:val="none"/>
                <w:lang w:val="en-US" w:eastAsia="zh-CN"/>
              </w:rPr>
            </w:pPr>
            <w:r>
              <w:rPr>
                <w:rFonts w:hint="eastAsia" w:ascii="仿宋_GB2312" w:hAnsi="仿宋_GB2312" w:eastAsia="仿宋_GB2312" w:cs="仿宋_GB2312"/>
                <w:i w:val="0"/>
                <w:iCs w:val="0"/>
                <w:color w:val="000000"/>
                <w:sz w:val="18"/>
                <w:szCs w:val="18"/>
                <w:highlight w:val="none"/>
                <w:u w:val="none"/>
                <w:lang w:val="en-US" w:eastAsia="zh-CN"/>
              </w:rPr>
              <w:t>10</w:t>
            </w:r>
          </w:p>
        </w:tc>
        <w:tc>
          <w:tcPr>
            <w:tcW w:w="12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2379DC">
            <w:pPr>
              <w:keepNext w:val="0"/>
              <w:keepLines w:val="0"/>
              <w:pageBreakBefore w:val="0"/>
              <w:kinsoku/>
              <w:wordWrap/>
              <w:overflowPunct/>
              <w:topLinePunct w:val="0"/>
              <w:autoSpaceDE/>
              <w:autoSpaceDN/>
              <w:bidi w:val="0"/>
              <w:adjustRightInd/>
              <w:snapToGrid/>
              <w:spacing w:line="380" w:lineRule="exact"/>
              <w:jc w:val="center"/>
              <w:rPr>
                <w:rFonts w:hint="eastAsia" w:ascii="仿宋_GB2312" w:hAnsi="仿宋_GB2312" w:eastAsia="仿宋_GB2312" w:cs="仿宋_GB2312"/>
                <w:i w:val="0"/>
                <w:iCs w:val="0"/>
                <w:color w:val="000000"/>
                <w:sz w:val="18"/>
                <w:szCs w:val="18"/>
                <w:highlight w:val="none"/>
                <w:u w:val="none"/>
              </w:rPr>
            </w:pPr>
          </w:p>
        </w:tc>
      </w:tr>
      <w:tr w14:paraId="487F1A8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917"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7B49EA">
            <w:pPr>
              <w:keepNext w:val="0"/>
              <w:keepLines w:val="0"/>
              <w:pageBreakBefore w:val="0"/>
              <w:kinsoku/>
              <w:wordWrap/>
              <w:overflowPunct/>
              <w:topLinePunct w:val="0"/>
              <w:autoSpaceDE/>
              <w:autoSpaceDN/>
              <w:bidi w:val="0"/>
              <w:adjustRightInd/>
              <w:snapToGrid/>
              <w:spacing w:line="380" w:lineRule="exact"/>
              <w:jc w:val="center"/>
              <w:rPr>
                <w:rFonts w:hint="eastAsia" w:ascii="仿宋_GB2312" w:hAnsi="仿宋_GB2312" w:eastAsia="仿宋_GB2312" w:cs="仿宋_GB2312"/>
                <w:i w:val="0"/>
                <w:iCs w:val="0"/>
                <w:color w:val="000000"/>
                <w:sz w:val="18"/>
                <w:szCs w:val="18"/>
                <w:highlight w:val="none"/>
                <w:u w:val="none"/>
              </w:rPr>
            </w:pPr>
          </w:p>
        </w:tc>
        <w:tc>
          <w:tcPr>
            <w:tcW w:w="1292"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32B094">
            <w:pPr>
              <w:keepNext w:val="0"/>
              <w:keepLines w:val="0"/>
              <w:pageBreakBefore w:val="0"/>
              <w:kinsoku/>
              <w:wordWrap/>
              <w:overflowPunct/>
              <w:topLinePunct w:val="0"/>
              <w:autoSpaceDE/>
              <w:autoSpaceDN/>
              <w:bidi w:val="0"/>
              <w:adjustRightInd/>
              <w:snapToGrid/>
              <w:spacing w:line="380" w:lineRule="exact"/>
              <w:jc w:val="center"/>
              <w:rPr>
                <w:rFonts w:hint="eastAsia" w:ascii="仿宋_GB2312" w:hAnsi="仿宋_GB2312" w:eastAsia="仿宋_GB2312" w:cs="仿宋_GB2312"/>
                <w:i w:val="0"/>
                <w:iCs w:val="0"/>
                <w:color w:val="000000"/>
                <w:sz w:val="18"/>
                <w:szCs w:val="18"/>
                <w:highlight w:val="none"/>
                <w:u w:val="none"/>
              </w:rPr>
            </w:pPr>
          </w:p>
        </w:tc>
        <w:tc>
          <w:tcPr>
            <w:tcW w:w="1312" w:type="dxa"/>
            <w:tcBorders>
              <w:top w:val="single" w:color="000000" w:sz="4" w:space="0"/>
              <w:left w:val="single" w:color="000000" w:sz="4" w:space="0"/>
              <w:bottom w:val="nil"/>
              <w:right w:val="single" w:color="000000" w:sz="4" w:space="0"/>
            </w:tcBorders>
            <w:shd w:val="clear" w:color="auto" w:fill="auto"/>
            <w:noWrap/>
            <w:vAlign w:val="center"/>
          </w:tcPr>
          <w:p w14:paraId="39D2E970">
            <w:pPr>
              <w:keepNext w:val="0"/>
              <w:keepLines w:val="0"/>
              <w:pageBreakBefore w:val="0"/>
              <w:widowControl/>
              <w:suppressLineNumbers w:val="0"/>
              <w:kinsoku/>
              <w:wordWrap/>
              <w:overflowPunct/>
              <w:topLinePunct w:val="0"/>
              <w:autoSpaceDE/>
              <w:autoSpaceDN/>
              <w:bidi w:val="0"/>
              <w:adjustRightInd/>
              <w:snapToGrid/>
              <w:spacing w:line="380" w:lineRule="exact"/>
              <w:jc w:val="center"/>
              <w:textAlignment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kern w:val="0"/>
                <w:sz w:val="18"/>
                <w:szCs w:val="18"/>
                <w:highlight w:val="none"/>
                <w:u w:val="none"/>
                <w:lang w:val="en-US" w:eastAsia="zh-CN" w:bidi="ar"/>
              </w:rPr>
              <w:t>时效指标</w:t>
            </w:r>
          </w:p>
        </w:tc>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938F30">
            <w:pPr>
              <w:keepNext w:val="0"/>
              <w:keepLines w:val="0"/>
              <w:pageBreakBefore w:val="0"/>
              <w:kinsoku/>
              <w:wordWrap/>
              <w:overflowPunct/>
              <w:topLinePunct w:val="0"/>
              <w:autoSpaceDE/>
              <w:autoSpaceDN/>
              <w:bidi w:val="0"/>
              <w:adjustRightInd/>
              <w:snapToGrid/>
              <w:spacing w:line="380" w:lineRule="exact"/>
              <w:jc w:val="center"/>
              <w:rPr>
                <w:rFonts w:hint="eastAsia" w:ascii="仿宋_GB2312" w:hAnsi="仿宋_GB2312" w:eastAsia="仿宋_GB2312" w:cs="仿宋_GB2312"/>
                <w:i w:val="0"/>
                <w:iCs w:val="0"/>
                <w:color w:val="000000"/>
                <w:sz w:val="18"/>
                <w:szCs w:val="18"/>
                <w:highlight w:val="none"/>
                <w:u w:val="none"/>
                <w:lang w:val="en-US" w:eastAsia="zh-CN"/>
              </w:rPr>
            </w:pPr>
            <w:r>
              <w:rPr>
                <w:rFonts w:hint="eastAsia" w:ascii="仿宋_GB2312" w:hAnsi="仿宋_GB2312" w:eastAsia="仿宋_GB2312" w:cs="仿宋_GB2312"/>
                <w:i w:val="0"/>
                <w:iCs w:val="0"/>
                <w:color w:val="000000"/>
                <w:sz w:val="18"/>
                <w:szCs w:val="18"/>
                <w:highlight w:val="none"/>
                <w:u w:val="none"/>
                <w:lang w:val="en-US" w:eastAsia="zh-CN"/>
              </w:rPr>
              <w:t>退耕还林补助兑现率%</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32933A">
            <w:pPr>
              <w:keepNext w:val="0"/>
              <w:keepLines w:val="0"/>
              <w:pageBreakBefore w:val="0"/>
              <w:kinsoku/>
              <w:wordWrap/>
              <w:overflowPunct/>
              <w:topLinePunct w:val="0"/>
              <w:autoSpaceDE/>
              <w:autoSpaceDN/>
              <w:bidi w:val="0"/>
              <w:adjustRightInd/>
              <w:snapToGrid/>
              <w:spacing w:line="380" w:lineRule="exact"/>
              <w:jc w:val="center"/>
              <w:rPr>
                <w:rFonts w:hint="eastAsia" w:ascii="仿宋_GB2312" w:hAnsi="仿宋_GB2312" w:eastAsia="仿宋_GB2312" w:cs="仿宋_GB2312"/>
                <w:i w:val="0"/>
                <w:iCs w:val="0"/>
                <w:color w:val="000000"/>
                <w:sz w:val="18"/>
                <w:szCs w:val="18"/>
                <w:highlight w:val="none"/>
                <w:u w:val="none"/>
                <w:lang w:val="en-US" w:eastAsia="zh-CN"/>
              </w:rPr>
            </w:pPr>
            <w:r>
              <w:rPr>
                <w:rFonts w:hint="eastAsia" w:ascii="仿宋_GB2312" w:hAnsi="仿宋_GB2312" w:eastAsia="仿宋_GB2312" w:cs="仿宋_GB2312"/>
                <w:i w:val="0"/>
                <w:iCs w:val="0"/>
                <w:color w:val="000000"/>
                <w:sz w:val="18"/>
                <w:szCs w:val="18"/>
                <w:highlight w:val="none"/>
                <w:u w:val="none"/>
                <w:lang w:val="en-US" w:eastAsia="zh-CN"/>
              </w:rPr>
              <w:t>=100%</w:t>
            </w:r>
          </w:p>
        </w:tc>
        <w:tc>
          <w:tcPr>
            <w:tcW w:w="11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EF4F6E">
            <w:pPr>
              <w:keepNext w:val="0"/>
              <w:keepLines w:val="0"/>
              <w:pageBreakBefore w:val="0"/>
              <w:kinsoku/>
              <w:wordWrap/>
              <w:overflowPunct/>
              <w:topLinePunct w:val="0"/>
              <w:autoSpaceDE/>
              <w:autoSpaceDN/>
              <w:bidi w:val="0"/>
              <w:adjustRightInd/>
              <w:snapToGrid/>
              <w:spacing w:line="380" w:lineRule="exact"/>
              <w:jc w:val="center"/>
              <w:rPr>
                <w:rFonts w:hint="eastAsia" w:ascii="仿宋_GB2312" w:hAnsi="仿宋_GB2312" w:eastAsia="仿宋_GB2312" w:cs="仿宋_GB2312"/>
                <w:i w:val="0"/>
                <w:iCs w:val="0"/>
                <w:color w:val="000000"/>
                <w:sz w:val="18"/>
                <w:szCs w:val="18"/>
                <w:highlight w:val="none"/>
                <w:u w:val="none"/>
                <w:lang w:val="en-US" w:eastAsia="zh-CN"/>
              </w:rPr>
            </w:pPr>
            <w:r>
              <w:rPr>
                <w:rFonts w:hint="eastAsia" w:ascii="仿宋_GB2312" w:hAnsi="仿宋_GB2312" w:eastAsia="仿宋_GB2312" w:cs="仿宋_GB2312"/>
                <w:i w:val="0"/>
                <w:iCs w:val="0"/>
                <w:color w:val="000000"/>
                <w:sz w:val="18"/>
                <w:szCs w:val="18"/>
                <w:highlight w:val="none"/>
                <w:u w:val="none"/>
                <w:lang w:val="en-US" w:eastAsia="zh-CN"/>
              </w:rPr>
              <w:t>计划标准</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DB0A29">
            <w:pPr>
              <w:keepNext w:val="0"/>
              <w:keepLines w:val="0"/>
              <w:pageBreakBefore w:val="0"/>
              <w:kinsoku/>
              <w:wordWrap/>
              <w:overflowPunct/>
              <w:topLinePunct w:val="0"/>
              <w:autoSpaceDE/>
              <w:autoSpaceDN/>
              <w:bidi w:val="0"/>
              <w:adjustRightInd/>
              <w:snapToGrid/>
              <w:spacing w:line="380" w:lineRule="exact"/>
              <w:jc w:val="center"/>
              <w:rPr>
                <w:rFonts w:hint="eastAsia" w:ascii="仿宋_GB2312" w:hAnsi="仿宋_GB2312" w:eastAsia="仿宋_GB2312" w:cs="仿宋_GB2312"/>
                <w:i w:val="0"/>
                <w:iCs w:val="0"/>
                <w:color w:val="000000"/>
                <w:sz w:val="18"/>
                <w:szCs w:val="18"/>
                <w:highlight w:val="none"/>
                <w:u w:val="none"/>
                <w:lang w:val="en-US" w:eastAsia="zh-CN"/>
              </w:rPr>
            </w:pPr>
          </w:p>
        </w:tc>
        <w:tc>
          <w:tcPr>
            <w:tcW w:w="8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68195D">
            <w:pPr>
              <w:keepNext w:val="0"/>
              <w:keepLines w:val="0"/>
              <w:pageBreakBefore w:val="0"/>
              <w:kinsoku/>
              <w:wordWrap/>
              <w:overflowPunct/>
              <w:topLinePunct w:val="0"/>
              <w:autoSpaceDE/>
              <w:autoSpaceDN/>
              <w:bidi w:val="0"/>
              <w:adjustRightInd/>
              <w:snapToGrid/>
              <w:spacing w:line="380" w:lineRule="exact"/>
              <w:jc w:val="center"/>
              <w:rPr>
                <w:rFonts w:hint="default" w:ascii="仿宋_GB2312" w:hAnsi="仿宋_GB2312" w:eastAsia="仿宋_GB2312" w:cs="仿宋_GB2312"/>
                <w:i w:val="0"/>
                <w:iCs w:val="0"/>
                <w:color w:val="000000"/>
                <w:sz w:val="18"/>
                <w:szCs w:val="18"/>
                <w:highlight w:val="none"/>
                <w:u w:val="none"/>
                <w:lang w:val="en-US" w:eastAsia="zh-CN"/>
              </w:rPr>
            </w:pPr>
            <w:r>
              <w:rPr>
                <w:rFonts w:hint="eastAsia" w:ascii="仿宋_GB2312" w:hAnsi="仿宋_GB2312" w:eastAsia="仿宋_GB2312" w:cs="仿宋_GB2312"/>
                <w:i w:val="0"/>
                <w:iCs w:val="0"/>
                <w:color w:val="000000"/>
                <w:sz w:val="18"/>
                <w:szCs w:val="18"/>
                <w:highlight w:val="none"/>
                <w:u w:val="none"/>
                <w:lang w:val="en-US" w:eastAsia="zh-CN"/>
              </w:rPr>
              <w:t>10</w:t>
            </w:r>
          </w:p>
        </w:tc>
        <w:tc>
          <w:tcPr>
            <w:tcW w:w="8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C5C102">
            <w:pPr>
              <w:keepNext w:val="0"/>
              <w:keepLines w:val="0"/>
              <w:pageBreakBefore w:val="0"/>
              <w:kinsoku/>
              <w:wordWrap/>
              <w:overflowPunct/>
              <w:topLinePunct w:val="0"/>
              <w:autoSpaceDE/>
              <w:autoSpaceDN/>
              <w:bidi w:val="0"/>
              <w:adjustRightInd/>
              <w:snapToGrid/>
              <w:spacing w:line="380" w:lineRule="exact"/>
              <w:jc w:val="center"/>
              <w:rPr>
                <w:rFonts w:hint="default" w:ascii="仿宋_GB2312" w:hAnsi="仿宋_GB2312" w:eastAsia="仿宋_GB2312" w:cs="仿宋_GB2312"/>
                <w:i w:val="0"/>
                <w:iCs w:val="0"/>
                <w:color w:val="000000"/>
                <w:sz w:val="18"/>
                <w:szCs w:val="18"/>
                <w:highlight w:val="none"/>
                <w:u w:val="none"/>
                <w:lang w:val="en-US" w:eastAsia="zh-CN"/>
              </w:rPr>
            </w:pPr>
            <w:r>
              <w:rPr>
                <w:rFonts w:hint="eastAsia" w:ascii="仿宋_GB2312" w:hAnsi="仿宋_GB2312" w:eastAsia="仿宋_GB2312" w:cs="仿宋_GB2312"/>
                <w:i w:val="0"/>
                <w:iCs w:val="0"/>
                <w:color w:val="000000"/>
                <w:sz w:val="18"/>
                <w:szCs w:val="18"/>
                <w:highlight w:val="none"/>
                <w:u w:val="none"/>
                <w:lang w:val="en-US" w:eastAsia="zh-CN"/>
              </w:rPr>
              <w:t>按照完成比</w:t>
            </w:r>
          </w:p>
        </w:tc>
        <w:tc>
          <w:tcPr>
            <w:tcW w:w="7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4DF853">
            <w:pPr>
              <w:keepNext w:val="0"/>
              <w:keepLines w:val="0"/>
              <w:pageBreakBefore w:val="0"/>
              <w:kinsoku/>
              <w:wordWrap/>
              <w:overflowPunct/>
              <w:topLinePunct w:val="0"/>
              <w:autoSpaceDE/>
              <w:autoSpaceDN/>
              <w:bidi w:val="0"/>
              <w:adjustRightInd/>
              <w:snapToGrid/>
              <w:spacing w:line="380" w:lineRule="exact"/>
              <w:jc w:val="center"/>
              <w:rPr>
                <w:rFonts w:hint="eastAsia" w:ascii="仿宋_GB2312" w:hAnsi="仿宋_GB2312" w:eastAsia="仿宋_GB2312" w:cs="仿宋_GB2312"/>
                <w:i w:val="0"/>
                <w:iCs w:val="0"/>
                <w:color w:val="000000"/>
                <w:sz w:val="18"/>
                <w:szCs w:val="18"/>
                <w:highlight w:val="none"/>
                <w:u w:val="none"/>
                <w:lang w:val="en-US" w:eastAsia="zh-CN"/>
              </w:rPr>
            </w:pPr>
            <w:r>
              <w:rPr>
                <w:rFonts w:hint="eastAsia" w:ascii="仿宋_GB2312" w:hAnsi="仿宋_GB2312" w:eastAsia="仿宋_GB2312" w:cs="仿宋_GB2312"/>
                <w:i w:val="0"/>
                <w:iCs w:val="0"/>
                <w:color w:val="000000"/>
                <w:sz w:val="18"/>
                <w:szCs w:val="18"/>
                <w:highlight w:val="none"/>
                <w:u w:val="none"/>
                <w:lang w:val="en-US" w:eastAsia="zh-CN"/>
              </w:rPr>
              <w:t>原始凭证</w:t>
            </w:r>
          </w:p>
        </w:tc>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63098C">
            <w:pPr>
              <w:keepNext w:val="0"/>
              <w:keepLines w:val="0"/>
              <w:pageBreakBefore w:val="0"/>
              <w:kinsoku/>
              <w:wordWrap/>
              <w:overflowPunct/>
              <w:topLinePunct w:val="0"/>
              <w:autoSpaceDE/>
              <w:autoSpaceDN/>
              <w:bidi w:val="0"/>
              <w:adjustRightInd/>
              <w:snapToGrid/>
              <w:spacing w:line="380" w:lineRule="exact"/>
              <w:jc w:val="center"/>
              <w:rPr>
                <w:rFonts w:hint="eastAsia" w:ascii="仿宋_GB2312" w:hAnsi="仿宋_GB2312" w:eastAsia="仿宋_GB2312" w:cs="仿宋_GB2312"/>
                <w:i w:val="0"/>
                <w:iCs w:val="0"/>
                <w:color w:val="000000"/>
                <w:sz w:val="18"/>
                <w:szCs w:val="18"/>
                <w:highlight w:val="none"/>
                <w:u w:val="none"/>
                <w:lang w:val="en-US" w:eastAsia="zh-CN"/>
              </w:rPr>
            </w:pPr>
            <w:r>
              <w:rPr>
                <w:rFonts w:hint="eastAsia" w:ascii="仿宋_GB2312" w:hAnsi="仿宋_GB2312" w:eastAsia="仿宋_GB2312" w:cs="仿宋_GB2312"/>
                <w:i w:val="0"/>
                <w:iCs w:val="0"/>
                <w:color w:val="000000"/>
                <w:sz w:val="18"/>
                <w:szCs w:val="18"/>
                <w:highlight w:val="none"/>
                <w:u w:val="none"/>
                <w:lang w:val="en-US" w:eastAsia="zh-CN"/>
              </w:rPr>
              <w:t>=100%</w:t>
            </w:r>
          </w:p>
        </w:tc>
        <w:tc>
          <w:tcPr>
            <w:tcW w:w="8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56EB9D">
            <w:pPr>
              <w:keepNext w:val="0"/>
              <w:keepLines w:val="0"/>
              <w:pageBreakBefore w:val="0"/>
              <w:kinsoku/>
              <w:wordWrap/>
              <w:overflowPunct/>
              <w:topLinePunct w:val="0"/>
              <w:autoSpaceDE/>
              <w:autoSpaceDN/>
              <w:bidi w:val="0"/>
              <w:adjustRightInd/>
              <w:snapToGrid/>
              <w:spacing w:line="380" w:lineRule="exact"/>
              <w:jc w:val="center"/>
              <w:rPr>
                <w:rFonts w:hint="eastAsia" w:ascii="仿宋_GB2312" w:hAnsi="仿宋_GB2312" w:eastAsia="仿宋_GB2312" w:cs="仿宋_GB2312"/>
                <w:i w:val="0"/>
                <w:iCs w:val="0"/>
                <w:color w:val="000000"/>
                <w:sz w:val="18"/>
                <w:szCs w:val="18"/>
                <w:highlight w:val="none"/>
                <w:u w:val="none"/>
                <w:lang w:val="en-US" w:eastAsia="zh-CN"/>
              </w:rPr>
            </w:pPr>
            <w:r>
              <w:rPr>
                <w:rFonts w:hint="eastAsia" w:ascii="仿宋_GB2312" w:hAnsi="仿宋_GB2312" w:eastAsia="仿宋_GB2312" w:cs="仿宋_GB2312"/>
                <w:i w:val="0"/>
                <w:iCs w:val="0"/>
                <w:color w:val="000000"/>
                <w:sz w:val="18"/>
                <w:szCs w:val="18"/>
                <w:highlight w:val="none"/>
                <w:u w:val="none"/>
                <w:lang w:val="en-US" w:eastAsia="zh-CN"/>
              </w:rPr>
              <w:t>=95%</w:t>
            </w:r>
          </w:p>
        </w:tc>
        <w:tc>
          <w:tcPr>
            <w:tcW w:w="7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3894EA">
            <w:pPr>
              <w:keepNext w:val="0"/>
              <w:keepLines w:val="0"/>
              <w:pageBreakBefore w:val="0"/>
              <w:kinsoku/>
              <w:wordWrap/>
              <w:overflowPunct/>
              <w:topLinePunct w:val="0"/>
              <w:autoSpaceDE/>
              <w:autoSpaceDN/>
              <w:bidi w:val="0"/>
              <w:adjustRightInd/>
              <w:snapToGrid/>
              <w:spacing w:line="380" w:lineRule="exact"/>
              <w:jc w:val="center"/>
              <w:rPr>
                <w:rFonts w:hint="default" w:ascii="仿宋_GB2312" w:hAnsi="仿宋_GB2312" w:eastAsia="仿宋_GB2312" w:cs="仿宋_GB2312"/>
                <w:i w:val="0"/>
                <w:iCs w:val="0"/>
                <w:color w:val="000000"/>
                <w:sz w:val="18"/>
                <w:szCs w:val="18"/>
                <w:highlight w:val="none"/>
                <w:u w:val="none"/>
                <w:lang w:val="en-US" w:eastAsia="zh-CN"/>
              </w:rPr>
            </w:pPr>
            <w:r>
              <w:rPr>
                <w:rFonts w:hint="eastAsia" w:ascii="仿宋_GB2312" w:hAnsi="仿宋_GB2312" w:eastAsia="仿宋_GB2312" w:cs="仿宋_GB2312"/>
                <w:i w:val="0"/>
                <w:iCs w:val="0"/>
                <w:color w:val="000000"/>
                <w:sz w:val="18"/>
                <w:szCs w:val="18"/>
                <w:highlight w:val="none"/>
                <w:u w:val="none"/>
                <w:lang w:val="en-US" w:eastAsia="zh-CN"/>
              </w:rPr>
              <w:t>8.75</w:t>
            </w:r>
          </w:p>
        </w:tc>
        <w:tc>
          <w:tcPr>
            <w:tcW w:w="12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D7EAF3">
            <w:pPr>
              <w:keepNext w:val="0"/>
              <w:keepLines w:val="0"/>
              <w:pageBreakBefore w:val="0"/>
              <w:kinsoku/>
              <w:wordWrap/>
              <w:overflowPunct/>
              <w:topLinePunct w:val="0"/>
              <w:autoSpaceDE/>
              <w:autoSpaceDN/>
              <w:bidi w:val="0"/>
              <w:adjustRightInd/>
              <w:snapToGrid/>
              <w:spacing w:line="380" w:lineRule="exact"/>
              <w:jc w:val="center"/>
              <w:rPr>
                <w:rFonts w:hint="eastAsia" w:ascii="仿宋_GB2312" w:hAnsi="仿宋_GB2312" w:eastAsia="仿宋_GB2312" w:cs="仿宋_GB2312"/>
                <w:b/>
                <w:bCs/>
                <w:i w:val="0"/>
                <w:iCs w:val="0"/>
                <w:color w:val="000000"/>
                <w:sz w:val="18"/>
                <w:szCs w:val="18"/>
                <w:highlight w:val="none"/>
                <w:u w:val="none"/>
              </w:rPr>
            </w:pPr>
          </w:p>
        </w:tc>
      </w:tr>
      <w:tr w14:paraId="2B9AEB9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917"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05C949">
            <w:pPr>
              <w:keepNext w:val="0"/>
              <w:keepLines w:val="0"/>
              <w:pageBreakBefore w:val="0"/>
              <w:kinsoku/>
              <w:wordWrap/>
              <w:overflowPunct/>
              <w:topLinePunct w:val="0"/>
              <w:autoSpaceDE/>
              <w:autoSpaceDN/>
              <w:bidi w:val="0"/>
              <w:adjustRightInd/>
              <w:snapToGrid/>
              <w:spacing w:line="380" w:lineRule="exact"/>
              <w:jc w:val="center"/>
              <w:rPr>
                <w:rFonts w:hint="eastAsia" w:ascii="仿宋_GB2312" w:hAnsi="仿宋_GB2312" w:eastAsia="仿宋_GB2312" w:cs="仿宋_GB2312"/>
                <w:i w:val="0"/>
                <w:iCs w:val="0"/>
                <w:color w:val="000000"/>
                <w:sz w:val="18"/>
                <w:szCs w:val="18"/>
                <w:highlight w:val="none"/>
                <w:u w:val="none"/>
              </w:rPr>
            </w:pPr>
          </w:p>
        </w:tc>
        <w:tc>
          <w:tcPr>
            <w:tcW w:w="12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191C6C">
            <w:pPr>
              <w:keepNext w:val="0"/>
              <w:keepLines w:val="0"/>
              <w:pageBreakBefore w:val="0"/>
              <w:kinsoku/>
              <w:wordWrap/>
              <w:overflowPunct/>
              <w:topLinePunct w:val="0"/>
              <w:autoSpaceDE/>
              <w:autoSpaceDN/>
              <w:bidi w:val="0"/>
              <w:adjustRightInd/>
              <w:snapToGrid/>
              <w:spacing w:line="380" w:lineRule="exact"/>
              <w:jc w:val="center"/>
              <w:rPr>
                <w:rFonts w:hint="default" w:ascii="仿宋_GB2312" w:hAnsi="仿宋_GB2312" w:eastAsia="仿宋_GB2312" w:cs="仿宋_GB2312"/>
                <w:i w:val="0"/>
                <w:iCs w:val="0"/>
                <w:color w:val="000000"/>
                <w:sz w:val="18"/>
                <w:szCs w:val="18"/>
                <w:highlight w:val="none"/>
                <w:u w:val="none"/>
                <w:lang w:val="en-US" w:eastAsia="zh-CN"/>
              </w:rPr>
            </w:pPr>
            <w:r>
              <w:rPr>
                <w:rFonts w:hint="eastAsia" w:ascii="仿宋_GB2312" w:hAnsi="仿宋_GB2312" w:eastAsia="仿宋_GB2312" w:cs="仿宋_GB2312"/>
                <w:i w:val="0"/>
                <w:iCs w:val="0"/>
                <w:color w:val="000000"/>
                <w:sz w:val="18"/>
                <w:szCs w:val="18"/>
                <w:highlight w:val="none"/>
                <w:u w:val="none"/>
                <w:lang w:val="en-US" w:eastAsia="zh-CN"/>
              </w:rPr>
              <w:t>成本指标</w:t>
            </w:r>
          </w:p>
        </w:tc>
        <w:tc>
          <w:tcPr>
            <w:tcW w:w="1312" w:type="dxa"/>
            <w:tcBorders>
              <w:top w:val="single" w:color="000000" w:sz="4" w:space="0"/>
              <w:left w:val="single" w:color="000000" w:sz="4" w:space="0"/>
              <w:bottom w:val="nil"/>
              <w:right w:val="single" w:color="000000" w:sz="4" w:space="0"/>
            </w:tcBorders>
            <w:shd w:val="clear" w:color="auto" w:fill="auto"/>
            <w:noWrap/>
            <w:vAlign w:val="center"/>
          </w:tcPr>
          <w:p w14:paraId="7AD06853">
            <w:pPr>
              <w:keepNext w:val="0"/>
              <w:keepLines w:val="0"/>
              <w:pageBreakBefore w:val="0"/>
              <w:widowControl/>
              <w:suppressLineNumbers w:val="0"/>
              <w:kinsoku/>
              <w:wordWrap/>
              <w:overflowPunct/>
              <w:topLinePunct w:val="0"/>
              <w:autoSpaceDE/>
              <w:autoSpaceDN/>
              <w:bidi w:val="0"/>
              <w:adjustRightInd/>
              <w:snapToGrid/>
              <w:spacing w:line="380" w:lineRule="exact"/>
              <w:jc w:val="center"/>
              <w:textAlignment w:val="center"/>
              <w:rPr>
                <w:rFonts w:hint="eastAsia" w:ascii="仿宋_GB2312" w:hAnsi="仿宋_GB2312" w:eastAsia="仿宋_GB2312" w:cs="仿宋_GB2312"/>
                <w:i w:val="0"/>
                <w:iCs w:val="0"/>
                <w:color w:val="000000"/>
                <w:kern w:val="0"/>
                <w:sz w:val="18"/>
                <w:szCs w:val="18"/>
                <w:highlight w:val="none"/>
                <w:u w:val="none"/>
                <w:lang w:val="en-US" w:eastAsia="zh-CN" w:bidi="ar"/>
              </w:rPr>
            </w:pPr>
            <w:r>
              <w:rPr>
                <w:rFonts w:hint="eastAsia" w:ascii="仿宋_GB2312" w:hAnsi="仿宋_GB2312" w:eastAsia="仿宋_GB2312" w:cs="仿宋_GB2312"/>
                <w:i w:val="0"/>
                <w:iCs w:val="0"/>
                <w:color w:val="000000"/>
                <w:kern w:val="0"/>
                <w:sz w:val="18"/>
                <w:szCs w:val="18"/>
                <w:highlight w:val="none"/>
                <w:u w:val="none"/>
                <w:lang w:val="en-US" w:eastAsia="zh-CN" w:bidi="ar"/>
              </w:rPr>
              <w:t>经济成本指标</w:t>
            </w:r>
          </w:p>
        </w:tc>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16550D">
            <w:pPr>
              <w:keepNext w:val="0"/>
              <w:keepLines w:val="0"/>
              <w:pageBreakBefore w:val="0"/>
              <w:kinsoku/>
              <w:wordWrap/>
              <w:overflowPunct/>
              <w:topLinePunct w:val="0"/>
              <w:autoSpaceDE/>
              <w:autoSpaceDN/>
              <w:bidi w:val="0"/>
              <w:adjustRightInd/>
              <w:snapToGrid/>
              <w:spacing w:line="380" w:lineRule="exact"/>
              <w:jc w:val="center"/>
              <w:rPr>
                <w:rFonts w:hint="eastAsia" w:ascii="仿宋_GB2312" w:hAnsi="仿宋_GB2312" w:eastAsia="仿宋_GB2312" w:cs="仿宋_GB2312"/>
                <w:i w:val="0"/>
                <w:iCs w:val="0"/>
                <w:color w:val="000000"/>
                <w:sz w:val="18"/>
                <w:szCs w:val="18"/>
                <w:highlight w:val="none"/>
                <w:u w:val="none"/>
                <w:lang w:val="en-US" w:eastAsia="zh-CN"/>
              </w:rPr>
            </w:pPr>
            <w:r>
              <w:rPr>
                <w:rFonts w:hint="eastAsia" w:ascii="仿宋_GB2312" w:hAnsi="仿宋_GB2312" w:eastAsia="仿宋_GB2312" w:cs="仿宋_GB2312"/>
                <w:i w:val="0"/>
                <w:iCs w:val="0"/>
                <w:color w:val="000000"/>
                <w:sz w:val="18"/>
                <w:szCs w:val="18"/>
                <w:highlight w:val="none"/>
                <w:u w:val="none"/>
                <w:lang w:val="en-US" w:eastAsia="zh-CN"/>
              </w:rPr>
              <w:t>新一轮退耕还林延长期补助标准（元/亩）</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0B107D">
            <w:pPr>
              <w:keepNext w:val="0"/>
              <w:keepLines w:val="0"/>
              <w:pageBreakBefore w:val="0"/>
              <w:kinsoku/>
              <w:wordWrap/>
              <w:overflowPunct/>
              <w:topLinePunct w:val="0"/>
              <w:autoSpaceDE/>
              <w:autoSpaceDN/>
              <w:bidi w:val="0"/>
              <w:adjustRightInd/>
              <w:snapToGrid/>
              <w:spacing w:line="380" w:lineRule="exact"/>
              <w:jc w:val="center"/>
              <w:rPr>
                <w:rFonts w:hint="eastAsia" w:ascii="仿宋_GB2312" w:hAnsi="仿宋_GB2312" w:eastAsia="仿宋_GB2312" w:cs="仿宋_GB2312"/>
                <w:i w:val="0"/>
                <w:iCs w:val="0"/>
                <w:color w:val="000000"/>
                <w:sz w:val="18"/>
                <w:szCs w:val="18"/>
                <w:highlight w:val="none"/>
                <w:u w:val="none"/>
                <w:lang w:val="en-US" w:eastAsia="zh-CN"/>
              </w:rPr>
            </w:pPr>
            <w:r>
              <w:rPr>
                <w:rFonts w:hint="eastAsia" w:ascii="仿宋_GB2312" w:hAnsi="仿宋_GB2312" w:eastAsia="仿宋_GB2312" w:cs="仿宋_GB2312"/>
                <w:i w:val="0"/>
                <w:iCs w:val="0"/>
                <w:color w:val="000000"/>
                <w:sz w:val="18"/>
                <w:szCs w:val="18"/>
                <w:highlight w:val="none"/>
                <w:u w:val="none"/>
                <w:lang w:val="en-US" w:eastAsia="zh-CN"/>
              </w:rPr>
              <w:t>=100元/亩</w:t>
            </w:r>
          </w:p>
        </w:tc>
        <w:tc>
          <w:tcPr>
            <w:tcW w:w="1164" w:type="dxa"/>
            <w:tcBorders>
              <w:top w:val="single" w:color="000000" w:sz="4" w:space="0"/>
              <w:left w:val="single" w:color="000000" w:sz="4" w:space="0"/>
              <w:bottom w:val="nil"/>
              <w:right w:val="single" w:color="000000" w:sz="4" w:space="0"/>
            </w:tcBorders>
            <w:shd w:val="clear" w:color="auto" w:fill="auto"/>
            <w:vAlign w:val="center"/>
          </w:tcPr>
          <w:p w14:paraId="43371F58">
            <w:pPr>
              <w:keepNext w:val="0"/>
              <w:keepLines w:val="0"/>
              <w:pageBreakBefore w:val="0"/>
              <w:kinsoku/>
              <w:wordWrap/>
              <w:overflowPunct/>
              <w:topLinePunct w:val="0"/>
              <w:autoSpaceDE/>
              <w:autoSpaceDN/>
              <w:bidi w:val="0"/>
              <w:adjustRightInd/>
              <w:snapToGrid/>
              <w:spacing w:line="380" w:lineRule="exact"/>
              <w:jc w:val="center"/>
              <w:rPr>
                <w:rFonts w:hint="default" w:ascii="仿宋_GB2312" w:hAnsi="仿宋_GB2312" w:eastAsia="仿宋_GB2312" w:cs="仿宋_GB2312"/>
                <w:i w:val="0"/>
                <w:iCs w:val="0"/>
                <w:color w:val="000000"/>
                <w:sz w:val="18"/>
                <w:szCs w:val="18"/>
                <w:highlight w:val="none"/>
                <w:u w:val="none"/>
                <w:lang w:val="en-US" w:eastAsia="zh-CN"/>
              </w:rPr>
            </w:pPr>
            <w:r>
              <w:rPr>
                <w:rFonts w:hint="eastAsia" w:ascii="仿宋_GB2312" w:hAnsi="仿宋_GB2312" w:eastAsia="仿宋_GB2312" w:cs="仿宋_GB2312"/>
                <w:i w:val="0"/>
                <w:iCs w:val="0"/>
                <w:color w:val="000000"/>
                <w:sz w:val="18"/>
                <w:szCs w:val="18"/>
                <w:highlight w:val="none"/>
                <w:u w:val="none"/>
                <w:lang w:val="en-US" w:eastAsia="zh-CN"/>
              </w:rPr>
              <w:t>预算支出标准</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4EBE36">
            <w:pPr>
              <w:keepNext w:val="0"/>
              <w:keepLines w:val="0"/>
              <w:pageBreakBefore w:val="0"/>
              <w:kinsoku/>
              <w:wordWrap/>
              <w:overflowPunct/>
              <w:topLinePunct w:val="0"/>
              <w:autoSpaceDE/>
              <w:autoSpaceDN/>
              <w:bidi w:val="0"/>
              <w:adjustRightInd/>
              <w:snapToGrid/>
              <w:spacing w:line="380" w:lineRule="exact"/>
              <w:jc w:val="center"/>
              <w:rPr>
                <w:rFonts w:hint="eastAsia" w:ascii="仿宋_GB2312" w:hAnsi="仿宋_GB2312" w:eastAsia="仿宋_GB2312" w:cs="仿宋_GB2312"/>
                <w:i w:val="0"/>
                <w:iCs w:val="0"/>
                <w:color w:val="000000"/>
                <w:sz w:val="18"/>
                <w:szCs w:val="18"/>
                <w:highlight w:val="none"/>
                <w:u w:val="none"/>
                <w:lang w:val="en-US" w:eastAsia="zh-CN"/>
              </w:rPr>
            </w:pPr>
          </w:p>
        </w:tc>
        <w:tc>
          <w:tcPr>
            <w:tcW w:w="8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6D2ED8">
            <w:pPr>
              <w:keepNext w:val="0"/>
              <w:keepLines w:val="0"/>
              <w:pageBreakBefore w:val="0"/>
              <w:kinsoku/>
              <w:wordWrap/>
              <w:overflowPunct/>
              <w:topLinePunct w:val="0"/>
              <w:autoSpaceDE/>
              <w:autoSpaceDN/>
              <w:bidi w:val="0"/>
              <w:adjustRightInd/>
              <w:snapToGrid/>
              <w:spacing w:line="380" w:lineRule="exact"/>
              <w:jc w:val="center"/>
              <w:rPr>
                <w:rFonts w:hint="default" w:ascii="仿宋_GB2312" w:hAnsi="仿宋_GB2312" w:eastAsia="仿宋_GB2312" w:cs="仿宋_GB2312"/>
                <w:i w:val="0"/>
                <w:iCs w:val="0"/>
                <w:color w:val="000000"/>
                <w:sz w:val="18"/>
                <w:szCs w:val="18"/>
                <w:highlight w:val="none"/>
                <w:u w:val="none"/>
                <w:lang w:val="en-US" w:eastAsia="zh-CN"/>
              </w:rPr>
            </w:pPr>
            <w:r>
              <w:rPr>
                <w:rFonts w:hint="eastAsia" w:ascii="仿宋_GB2312" w:hAnsi="仿宋_GB2312" w:eastAsia="仿宋_GB2312" w:cs="仿宋_GB2312"/>
                <w:i w:val="0"/>
                <w:iCs w:val="0"/>
                <w:color w:val="000000"/>
                <w:sz w:val="18"/>
                <w:szCs w:val="18"/>
                <w:highlight w:val="none"/>
                <w:u w:val="none"/>
                <w:lang w:val="en-US" w:eastAsia="zh-CN"/>
              </w:rPr>
              <w:t>20</w:t>
            </w:r>
          </w:p>
        </w:tc>
        <w:tc>
          <w:tcPr>
            <w:tcW w:w="882" w:type="dxa"/>
            <w:tcBorders>
              <w:top w:val="single" w:color="000000" w:sz="4" w:space="0"/>
              <w:left w:val="single" w:color="000000" w:sz="4" w:space="0"/>
              <w:bottom w:val="nil"/>
              <w:right w:val="single" w:color="000000" w:sz="4" w:space="0"/>
            </w:tcBorders>
            <w:shd w:val="clear" w:color="auto" w:fill="auto"/>
            <w:vAlign w:val="center"/>
          </w:tcPr>
          <w:p w14:paraId="650BC3DF">
            <w:pPr>
              <w:keepNext w:val="0"/>
              <w:keepLines w:val="0"/>
              <w:pageBreakBefore w:val="0"/>
              <w:kinsoku/>
              <w:wordWrap/>
              <w:overflowPunct/>
              <w:topLinePunct w:val="0"/>
              <w:autoSpaceDE/>
              <w:autoSpaceDN/>
              <w:bidi w:val="0"/>
              <w:adjustRightInd/>
              <w:snapToGrid/>
              <w:spacing w:line="380" w:lineRule="exact"/>
              <w:jc w:val="center"/>
              <w:rPr>
                <w:rFonts w:hint="eastAsia" w:ascii="仿宋_GB2312" w:hAnsi="仿宋_GB2312" w:eastAsia="仿宋_GB2312" w:cs="仿宋_GB2312"/>
                <w:i w:val="0"/>
                <w:iCs w:val="0"/>
                <w:color w:val="000000"/>
                <w:sz w:val="18"/>
                <w:szCs w:val="18"/>
                <w:highlight w:val="none"/>
                <w:u w:val="none"/>
                <w:lang w:val="en-US" w:eastAsia="zh-CN"/>
              </w:rPr>
            </w:pPr>
            <w:r>
              <w:rPr>
                <w:rFonts w:hint="eastAsia" w:ascii="仿宋_GB2312" w:hAnsi="仿宋_GB2312" w:eastAsia="仿宋_GB2312" w:cs="仿宋_GB2312"/>
                <w:i w:val="0"/>
                <w:iCs w:val="0"/>
                <w:color w:val="000000"/>
                <w:sz w:val="18"/>
                <w:szCs w:val="18"/>
                <w:highlight w:val="none"/>
                <w:u w:val="none"/>
                <w:lang w:val="en-US" w:eastAsia="zh-CN"/>
              </w:rPr>
              <w:t>按照完成比</w:t>
            </w:r>
          </w:p>
        </w:tc>
        <w:tc>
          <w:tcPr>
            <w:tcW w:w="7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73D668">
            <w:pPr>
              <w:keepNext w:val="0"/>
              <w:keepLines w:val="0"/>
              <w:pageBreakBefore w:val="0"/>
              <w:kinsoku/>
              <w:wordWrap/>
              <w:overflowPunct/>
              <w:topLinePunct w:val="0"/>
              <w:autoSpaceDE/>
              <w:autoSpaceDN/>
              <w:bidi w:val="0"/>
              <w:adjustRightInd/>
              <w:snapToGrid/>
              <w:spacing w:line="380" w:lineRule="exact"/>
              <w:jc w:val="center"/>
              <w:rPr>
                <w:rFonts w:hint="default" w:ascii="仿宋_GB2312" w:hAnsi="仿宋_GB2312" w:eastAsia="仿宋_GB2312" w:cs="仿宋_GB2312"/>
                <w:i w:val="0"/>
                <w:iCs w:val="0"/>
                <w:color w:val="000000"/>
                <w:sz w:val="18"/>
                <w:szCs w:val="18"/>
                <w:highlight w:val="none"/>
                <w:u w:val="none"/>
                <w:lang w:val="en-US" w:eastAsia="zh-CN"/>
              </w:rPr>
            </w:pPr>
            <w:r>
              <w:rPr>
                <w:rFonts w:hint="eastAsia" w:ascii="仿宋_GB2312" w:hAnsi="仿宋_GB2312" w:eastAsia="仿宋_GB2312" w:cs="仿宋_GB2312"/>
                <w:i w:val="0"/>
                <w:iCs w:val="0"/>
                <w:color w:val="000000"/>
                <w:sz w:val="18"/>
                <w:szCs w:val="18"/>
                <w:highlight w:val="none"/>
                <w:u w:val="none"/>
                <w:lang w:val="en-US" w:eastAsia="zh-CN"/>
              </w:rPr>
              <w:t>正式材料</w:t>
            </w:r>
          </w:p>
        </w:tc>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8FC535">
            <w:pPr>
              <w:keepNext w:val="0"/>
              <w:keepLines w:val="0"/>
              <w:pageBreakBefore w:val="0"/>
              <w:kinsoku/>
              <w:wordWrap/>
              <w:overflowPunct/>
              <w:topLinePunct w:val="0"/>
              <w:autoSpaceDE/>
              <w:autoSpaceDN/>
              <w:bidi w:val="0"/>
              <w:adjustRightInd/>
              <w:snapToGrid/>
              <w:spacing w:line="380" w:lineRule="exact"/>
              <w:jc w:val="center"/>
              <w:rPr>
                <w:rFonts w:hint="eastAsia" w:ascii="仿宋_GB2312" w:hAnsi="仿宋_GB2312" w:eastAsia="仿宋_GB2312" w:cs="仿宋_GB2312"/>
                <w:i w:val="0"/>
                <w:iCs w:val="0"/>
                <w:color w:val="000000"/>
                <w:sz w:val="18"/>
                <w:szCs w:val="18"/>
                <w:highlight w:val="none"/>
                <w:u w:val="none"/>
                <w:lang w:val="en-US" w:eastAsia="zh-CN"/>
              </w:rPr>
            </w:pPr>
            <w:r>
              <w:rPr>
                <w:rFonts w:hint="eastAsia" w:ascii="仿宋_GB2312" w:hAnsi="仿宋_GB2312" w:eastAsia="仿宋_GB2312" w:cs="仿宋_GB2312"/>
                <w:i w:val="0"/>
                <w:iCs w:val="0"/>
                <w:color w:val="000000"/>
                <w:sz w:val="18"/>
                <w:szCs w:val="18"/>
                <w:highlight w:val="none"/>
                <w:u w:val="none"/>
                <w:lang w:val="en-US" w:eastAsia="zh-CN"/>
              </w:rPr>
              <w:t>=100元/亩</w:t>
            </w:r>
          </w:p>
        </w:tc>
        <w:tc>
          <w:tcPr>
            <w:tcW w:w="8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C6F3C3">
            <w:pPr>
              <w:keepNext w:val="0"/>
              <w:keepLines w:val="0"/>
              <w:pageBreakBefore w:val="0"/>
              <w:kinsoku/>
              <w:wordWrap/>
              <w:overflowPunct/>
              <w:topLinePunct w:val="0"/>
              <w:autoSpaceDE/>
              <w:autoSpaceDN/>
              <w:bidi w:val="0"/>
              <w:adjustRightInd/>
              <w:snapToGrid/>
              <w:spacing w:line="380" w:lineRule="exact"/>
              <w:jc w:val="center"/>
              <w:rPr>
                <w:rFonts w:hint="default" w:ascii="仿宋_GB2312" w:hAnsi="仿宋_GB2312" w:eastAsia="仿宋_GB2312" w:cs="仿宋_GB2312"/>
                <w:i w:val="0"/>
                <w:iCs w:val="0"/>
                <w:color w:val="000000"/>
                <w:sz w:val="18"/>
                <w:szCs w:val="18"/>
                <w:highlight w:val="none"/>
                <w:u w:val="none"/>
                <w:lang w:val="en-US" w:eastAsia="zh-CN"/>
              </w:rPr>
            </w:pPr>
            <w:r>
              <w:rPr>
                <w:rFonts w:hint="eastAsia" w:ascii="仿宋_GB2312" w:hAnsi="仿宋_GB2312" w:eastAsia="仿宋_GB2312" w:cs="仿宋_GB2312"/>
                <w:i w:val="0"/>
                <w:iCs w:val="0"/>
                <w:color w:val="000000"/>
                <w:sz w:val="18"/>
                <w:szCs w:val="18"/>
                <w:highlight w:val="none"/>
                <w:u w:val="none"/>
                <w:lang w:val="en-US" w:eastAsia="zh-CN"/>
              </w:rPr>
              <w:t>100%</w:t>
            </w:r>
          </w:p>
        </w:tc>
        <w:tc>
          <w:tcPr>
            <w:tcW w:w="7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EF6F7F">
            <w:pPr>
              <w:keepNext w:val="0"/>
              <w:keepLines w:val="0"/>
              <w:pageBreakBefore w:val="0"/>
              <w:kinsoku/>
              <w:wordWrap/>
              <w:overflowPunct/>
              <w:topLinePunct w:val="0"/>
              <w:autoSpaceDE/>
              <w:autoSpaceDN/>
              <w:bidi w:val="0"/>
              <w:adjustRightInd/>
              <w:snapToGrid/>
              <w:spacing w:line="380" w:lineRule="exact"/>
              <w:jc w:val="center"/>
              <w:rPr>
                <w:rFonts w:hint="default" w:ascii="仿宋_GB2312" w:hAnsi="仿宋_GB2312" w:eastAsia="仿宋_GB2312" w:cs="仿宋_GB2312"/>
                <w:i w:val="0"/>
                <w:iCs w:val="0"/>
                <w:color w:val="000000"/>
                <w:sz w:val="18"/>
                <w:szCs w:val="18"/>
                <w:highlight w:val="none"/>
                <w:u w:val="none"/>
                <w:lang w:val="en-US" w:eastAsia="zh-CN"/>
              </w:rPr>
            </w:pPr>
            <w:r>
              <w:rPr>
                <w:rFonts w:hint="eastAsia" w:ascii="仿宋_GB2312" w:hAnsi="仿宋_GB2312" w:eastAsia="仿宋_GB2312" w:cs="仿宋_GB2312"/>
                <w:i w:val="0"/>
                <w:iCs w:val="0"/>
                <w:color w:val="000000"/>
                <w:sz w:val="18"/>
                <w:szCs w:val="18"/>
                <w:highlight w:val="none"/>
                <w:u w:val="none"/>
                <w:lang w:val="en-US" w:eastAsia="zh-CN"/>
              </w:rPr>
              <w:t>20</w:t>
            </w:r>
          </w:p>
        </w:tc>
        <w:tc>
          <w:tcPr>
            <w:tcW w:w="12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863A5A">
            <w:pPr>
              <w:keepNext w:val="0"/>
              <w:keepLines w:val="0"/>
              <w:pageBreakBefore w:val="0"/>
              <w:kinsoku/>
              <w:wordWrap/>
              <w:overflowPunct/>
              <w:topLinePunct w:val="0"/>
              <w:autoSpaceDE/>
              <w:autoSpaceDN/>
              <w:bidi w:val="0"/>
              <w:adjustRightInd/>
              <w:snapToGrid/>
              <w:spacing w:line="380" w:lineRule="exact"/>
              <w:jc w:val="center"/>
              <w:rPr>
                <w:rFonts w:hint="eastAsia" w:ascii="仿宋_GB2312" w:hAnsi="仿宋_GB2312" w:eastAsia="仿宋_GB2312" w:cs="仿宋_GB2312"/>
                <w:i w:val="0"/>
                <w:iCs w:val="0"/>
                <w:color w:val="000000"/>
                <w:sz w:val="18"/>
                <w:szCs w:val="18"/>
                <w:highlight w:val="none"/>
                <w:u w:val="none"/>
              </w:rPr>
            </w:pPr>
          </w:p>
        </w:tc>
      </w:tr>
      <w:tr w14:paraId="1B2D597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917"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620845">
            <w:pPr>
              <w:keepNext w:val="0"/>
              <w:keepLines w:val="0"/>
              <w:pageBreakBefore w:val="0"/>
              <w:kinsoku/>
              <w:wordWrap/>
              <w:overflowPunct/>
              <w:topLinePunct w:val="0"/>
              <w:autoSpaceDE/>
              <w:autoSpaceDN/>
              <w:bidi w:val="0"/>
              <w:adjustRightInd/>
              <w:snapToGrid/>
              <w:spacing w:line="380" w:lineRule="exact"/>
              <w:jc w:val="center"/>
              <w:rPr>
                <w:rFonts w:hint="eastAsia" w:ascii="仿宋_GB2312" w:hAnsi="仿宋_GB2312" w:eastAsia="仿宋_GB2312" w:cs="仿宋_GB2312"/>
                <w:i w:val="0"/>
                <w:iCs w:val="0"/>
                <w:color w:val="000000"/>
                <w:sz w:val="18"/>
                <w:szCs w:val="18"/>
                <w:highlight w:val="none"/>
                <w:u w:val="none"/>
              </w:rPr>
            </w:pPr>
          </w:p>
        </w:tc>
        <w:tc>
          <w:tcPr>
            <w:tcW w:w="129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5663327">
            <w:pPr>
              <w:keepNext w:val="0"/>
              <w:keepLines w:val="0"/>
              <w:pageBreakBefore w:val="0"/>
              <w:widowControl/>
              <w:suppressLineNumbers w:val="0"/>
              <w:kinsoku/>
              <w:wordWrap/>
              <w:overflowPunct/>
              <w:topLinePunct w:val="0"/>
              <w:autoSpaceDE/>
              <w:autoSpaceDN/>
              <w:bidi w:val="0"/>
              <w:adjustRightInd/>
              <w:snapToGrid/>
              <w:spacing w:line="380" w:lineRule="exact"/>
              <w:jc w:val="center"/>
              <w:textAlignment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kern w:val="0"/>
                <w:sz w:val="18"/>
                <w:szCs w:val="18"/>
                <w:highlight w:val="none"/>
                <w:u w:val="none"/>
                <w:lang w:val="en-US" w:eastAsia="zh-CN" w:bidi="ar"/>
              </w:rPr>
              <w:t>效益指标</w:t>
            </w:r>
          </w:p>
        </w:tc>
        <w:tc>
          <w:tcPr>
            <w:tcW w:w="13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E0D836">
            <w:pPr>
              <w:keepNext w:val="0"/>
              <w:keepLines w:val="0"/>
              <w:pageBreakBefore w:val="0"/>
              <w:widowControl/>
              <w:suppressLineNumbers w:val="0"/>
              <w:kinsoku/>
              <w:wordWrap/>
              <w:overflowPunct/>
              <w:topLinePunct w:val="0"/>
              <w:autoSpaceDE/>
              <w:autoSpaceDN/>
              <w:bidi w:val="0"/>
              <w:adjustRightInd/>
              <w:snapToGrid/>
              <w:spacing w:line="380" w:lineRule="exact"/>
              <w:jc w:val="center"/>
              <w:textAlignment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kern w:val="0"/>
                <w:sz w:val="18"/>
                <w:szCs w:val="18"/>
                <w:highlight w:val="none"/>
                <w:u w:val="none"/>
                <w:lang w:val="en-US" w:eastAsia="zh-CN" w:bidi="ar"/>
              </w:rPr>
              <w:t>经济效益指标</w:t>
            </w:r>
          </w:p>
        </w:tc>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D17F33">
            <w:pPr>
              <w:keepNext w:val="0"/>
              <w:keepLines w:val="0"/>
              <w:pageBreakBefore w:val="0"/>
              <w:kinsoku/>
              <w:wordWrap/>
              <w:overflowPunct/>
              <w:topLinePunct w:val="0"/>
              <w:autoSpaceDE/>
              <w:autoSpaceDN/>
              <w:bidi w:val="0"/>
              <w:adjustRightInd/>
              <w:snapToGrid/>
              <w:spacing w:line="380" w:lineRule="exact"/>
              <w:jc w:val="center"/>
              <w:rPr>
                <w:rFonts w:hint="eastAsia" w:ascii="仿宋_GB2312" w:hAnsi="仿宋_GB2312" w:eastAsia="仿宋_GB2312" w:cs="仿宋_GB2312"/>
                <w:i w:val="0"/>
                <w:iCs w:val="0"/>
                <w:color w:val="000000"/>
                <w:sz w:val="18"/>
                <w:szCs w:val="18"/>
                <w:highlight w:val="none"/>
                <w:u w:val="none"/>
                <w:lang w:val="en-US" w:eastAsia="zh-CN"/>
              </w:rPr>
            </w:pPr>
            <w:r>
              <w:rPr>
                <w:rFonts w:hint="eastAsia" w:ascii="仿宋_GB2312" w:hAnsi="仿宋_GB2312" w:eastAsia="仿宋_GB2312" w:cs="仿宋_GB2312"/>
                <w:i w:val="0"/>
                <w:iCs w:val="0"/>
                <w:color w:val="000000"/>
                <w:sz w:val="18"/>
                <w:szCs w:val="18"/>
                <w:highlight w:val="none"/>
                <w:u w:val="none"/>
                <w:lang w:val="en-US" w:eastAsia="zh-CN"/>
              </w:rPr>
              <w:t>民生状况</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7F7436">
            <w:pPr>
              <w:keepNext w:val="0"/>
              <w:keepLines w:val="0"/>
              <w:pageBreakBefore w:val="0"/>
              <w:kinsoku/>
              <w:wordWrap/>
              <w:overflowPunct/>
              <w:topLinePunct w:val="0"/>
              <w:autoSpaceDE/>
              <w:autoSpaceDN/>
              <w:bidi w:val="0"/>
              <w:adjustRightInd/>
              <w:snapToGrid/>
              <w:spacing w:line="380" w:lineRule="exact"/>
              <w:jc w:val="center"/>
              <w:rPr>
                <w:rFonts w:hint="eastAsia" w:ascii="仿宋_GB2312" w:hAnsi="仿宋_GB2312" w:eastAsia="仿宋_GB2312" w:cs="仿宋_GB2312"/>
                <w:i w:val="0"/>
                <w:iCs w:val="0"/>
                <w:color w:val="000000"/>
                <w:sz w:val="18"/>
                <w:szCs w:val="18"/>
                <w:highlight w:val="none"/>
                <w:u w:val="none"/>
                <w:lang w:val="en-US" w:eastAsia="zh-CN"/>
              </w:rPr>
            </w:pPr>
            <w:r>
              <w:rPr>
                <w:rFonts w:hint="eastAsia" w:ascii="仿宋_GB2312" w:hAnsi="仿宋_GB2312" w:eastAsia="仿宋_GB2312" w:cs="仿宋_GB2312"/>
                <w:i w:val="0"/>
                <w:iCs w:val="0"/>
                <w:color w:val="000000"/>
                <w:sz w:val="18"/>
                <w:szCs w:val="18"/>
                <w:highlight w:val="none"/>
                <w:u w:val="none"/>
                <w:lang w:val="en-US" w:eastAsia="zh-CN"/>
              </w:rPr>
              <w:t>逐步改善</w:t>
            </w:r>
          </w:p>
        </w:tc>
        <w:tc>
          <w:tcPr>
            <w:tcW w:w="11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5D3971">
            <w:pPr>
              <w:keepNext w:val="0"/>
              <w:keepLines w:val="0"/>
              <w:pageBreakBefore w:val="0"/>
              <w:kinsoku/>
              <w:wordWrap/>
              <w:overflowPunct/>
              <w:topLinePunct w:val="0"/>
              <w:autoSpaceDE/>
              <w:autoSpaceDN/>
              <w:bidi w:val="0"/>
              <w:adjustRightInd/>
              <w:snapToGrid/>
              <w:spacing w:line="380" w:lineRule="exact"/>
              <w:jc w:val="center"/>
              <w:rPr>
                <w:rFonts w:hint="eastAsia" w:ascii="仿宋_GB2312" w:hAnsi="仿宋_GB2312" w:eastAsia="仿宋_GB2312" w:cs="仿宋_GB2312"/>
                <w:i w:val="0"/>
                <w:iCs w:val="0"/>
                <w:color w:val="000000"/>
                <w:sz w:val="18"/>
                <w:szCs w:val="18"/>
                <w:highlight w:val="none"/>
                <w:u w:val="none"/>
                <w:lang w:val="en-US" w:eastAsia="zh-CN"/>
              </w:rPr>
            </w:pPr>
            <w:r>
              <w:rPr>
                <w:rFonts w:hint="eastAsia" w:ascii="仿宋_GB2312" w:hAnsi="仿宋_GB2312" w:eastAsia="仿宋_GB2312" w:cs="仿宋_GB2312"/>
                <w:i w:val="0"/>
                <w:iCs w:val="0"/>
                <w:color w:val="000000"/>
                <w:sz w:val="18"/>
                <w:szCs w:val="18"/>
                <w:highlight w:val="none"/>
                <w:u w:val="none"/>
                <w:lang w:val="en-US" w:eastAsia="zh-CN"/>
              </w:rPr>
              <w:t>计划标准</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2AC60F">
            <w:pPr>
              <w:keepNext w:val="0"/>
              <w:keepLines w:val="0"/>
              <w:pageBreakBefore w:val="0"/>
              <w:kinsoku/>
              <w:wordWrap/>
              <w:overflowPunct/>
              <w:topLinePunct w:val="0"/>
              <w:autoSpaceDE/>
              <w:autoSpaceDN/>
              <w:bidi w:val="0"/>
              <w:adjustRightInd/>
              <w:snapToGrid/>
              <w:spacing w:line="380" w:lineRule="exact"/>
              <w:jc w:val="center"/>
              <w:rPr>
                <w:rFonts w:hint="eastAsia" w:ascii="仿宋_GB2312" w:hAnsi="仿宋_GB2312" w:eastAsia="仿宋_GB2312" w:cs="仿宋_GB2312"/>
                <w:i w:val="0"/>
                <w:iCs w:val="0"/>
                <w:color w:val="000000"/>
                <w:sz w:val="18"/>
                <w:szCs w:val="18"/>
                <w:highlight w:val="none"/>
                <w:u w:val="none"/>
                <w:lang w:val="en-US" w:eastAsia="zh-CN"/>
              </w:rPr>
            </w:pPr>
          </w:p>
        </w:tc>
        <w:tc>
          <w:tcPr>
            <w:tcW w:w="8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B768EB">
            <w:pPr>
              <w:keepNext w:val="0"/>
              <w:keepLines w:val="0"/>
              <w:pageBreakBefore w:val="0"/>
              <w:kinsoku/>
              <w:wordWrap/>
              <w:overflowPunct/>
              <w:topLinePunct w:val="0"/>
              <w:autoSpaceDE/>
              <w:autoSpaceDN/>
              <w:bidi w:val="0"/>
              <w:adjustRightInd/>
              <w:snapToGrid/>
              <w:spacing w:line="380" w:lineRule="exact"/>
              <w:jc w:val="center"/>
              <w:rPr>
                <w:rFonts w:hint="default" w:ascii="仿宋_GB2312" w:hAnsi="仿宋_GB2312" w:eastAsia="仿宋_GB2312" w:cs="仿宋_GB2312"/>
                <w:i w:val="0"/>
                <w:iCs w:val="0"/>
                <w:color w:val="000000"/>
                <w:sz w:val="18"/>
                <w:szCs w:val="18"/>
                <w:highlight w:val="none"/>
                <w:u w:val="none"/>
                <w:lang w:val="en-US" w:eastAsia="zh-CN"/>
              </w:rPr>
            </w:pPr>
            <w:r>
              <w:rPr>
                <w:rFonts w:hint="eastAsia" w:ascii="仿宋_GB2312" w:hAnsi="仿宋_GB2312" w:eastAsia="仿宋_GB2312" w:cs="仿宋_GB2312"/>
                <w:i w:val="0"/>
                <w:iCs w:val="0"/>
                <w:color w:val="000000"/>
                <w:sz w:val="18"/>
                <w:szCs w:val="18"/>
                <w:highlight w:val="none"/>
                <w:u w:val="none"/>
                <w:lang w:val="en-US" w:eastAsia="zh-CN"/>
              </w:rPr>
              <w:t>10</w:t>
            </w:r>
          </w:p>
        </w:tc>
        <w:tc>
          <w:tcPr>
            <w:tcW w:w="8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7AB333">
            <w:pPr>
              <w:keepNext w:val="0"/>
              <w:keepLines w:val="0"/>
              <w:pageBreakBefore w:val="0"/>
              <w:kinsoku/>
              <w:wordWrap/>
              <w:overflowPunct/>
              <w:topLinePunct w:val="0"/>
              <w:autoSpaceDE/>
              <w:autoSpaceDN/>
              <w:bidi w:val="0"/>
              <w:adjustRightInd/>
              <w:snapToGrid/>
              <w:spacing w:line="380" w:lineRule="exact"/>
              <w:jc w:val="center"/>
              <w:rPr>
                <w:rFonts w:hint="default" w:ascii="仿宋_GB2312" w:hAnsi="仿宋_GB2312" w:eastAsia="仿宋_GB2312" w:cs="仿宋_GB2312"/>
                <w:i w:val="0"/>
                <w:iCs w:val="0"/>
                <w:color w:val="000000"/>
                <w:sz w:val="18"/>
                <w:szCs w:val="18"/>
                <w:highlight w:val="none"/>
                <w:u w:val="none"/>
                <w:lang w:val="en-US" w:eastAsia="zh-CN"/>
              </w:rPr>
            </w:pPr>
            <w:r>
              <w:rPr>
                <w:rFonts w:hint="eastAsia" w:ascii="仿宋_GB2312" w:hAnsi="仿宋_GB2312" w:eastAsia="仿宋_GB2312" w:cs="仿宋_GB2312"/>
                <w:i w:val="0"/>
                <w:iCs w:val="0"/>
                <w:color w:val="000000"/>
                <w:sz w:val="18"/>
                <w:szCs w:val="18"/>
                <w:highlight w:val="none"/>
                <w:u w:val="none"/>
                <w:lang w:val="en-US" w:eastAsia="zh-CN"/>
              </w:rPr>
              <w:t>按评判等级</w:t>
            </w:r>
          </w:p>
        </w:tc>
        <w:tc>
          <w:tcPr>
            <w:tcW w:w="7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E22E31">
            <w:pPr>
              <w:keepNext w:val="0"/>
              <w:keepLines w:val="0"/>
              <w:pageBreakBefore w:val="0"/>
              <w:kinsoku/>
              <w:wordWrap/>
              <w:overflowPunct/>
              <w:topLinePunct w:val="0"/>
              <w:autoSpaceDE/>
              <w:autoSpaceDN/>
              <w:bidi w:val="0"/>
              <w:adjustRightInd/>
              <w:snapToGrid/>
              <w:spacing w:line="380" w:lineRule="exact"/>
              <w:jc w:val="center"/>
              <w:rPr>
                <w:rFonts w:hint="default" w:ascii="仿宋_GB2312" w:hAnsi="仿宋_GB2312" w:eastAsia="仿宋_GB2312" w:cs="仿宋_GB2312"/>
                <w:i w:val="0"/>
                <w:iCs w:val="0"/>
                <w:color w:val="000000"/>
                <w:sz w:val="18"/>
                <w:szCs w:val="18"/>
                <w:highlight w:val="none"/>
                <w:u w:val="none"/>
                <w:lang w:val="en-US" w:eastAsia="zh-CN"/>
              </w:rPr>
            </w:pPr>
            <w:r>
              <w:rPr>
                <w:rFonts w:hint="eastAsia" w:ascii="仿宋_GB2312" w:hAnsi="仿宋_GB2312" w:eastAsia="仿宋_GB2312" w:cs="仿宋_GB2312"/>
                <w:i w:val="0"/>
                <w:iCs w:val="0"/>
                <w:color w:val="000000"/>
                <w:sz w:val="18"/>
                <w:szCs w:val="18"/>
                <w:highlight w:val="none"/>
                <w:u w:val="none"/>
                <w:lang w:val="en-US" w:eastAsia="zh-CN"/>
              </w:rPr>
              <w:t>说明材料</w:t>
            </w:r>
          </w:p>
        </w:tc>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3ACE84">
            <w:pPr>
              <w:keepNext w:val="0"/>
              <w:keepLines w:val="0"/>
              <w:pageBreakBefore w:val="0"/>
              <w:kinsoku/>
              <w:wordWrap/>
              <w:overflowPunct/>
              <w:topLinePunct w:val="0"/>
              <w:autoSpaceDE/>
              <w:autoSpaceDN/>
              <w:bidi w:val="0"/>
              <w:adjustRightInd/>
              <w:snapToGrid/>
              <w:spacing w:line="380" w:lineRule="exact"/>
              <w:jc w:val="center"/>
              <w:rPr>
                <w:rFonts w:hint="default" w:ascii="仿宋_GB2312" w:hAnsi="仿宋_GB2312" w:eastAsia="仿宋_GB2312" w:cs="仿宋_GB2312"/>
                <w:i w:val="0"/>
                <w:iCs w:val="0"/>
                <w:color w:val="000000"/>
                <w:sz w:val="18"/>
                <w:szCs w:val="18"/>
                <w:highlight w:val="none"/>
                <w:u w:val="none"/>
                <w:lang w:val="en-US" w:eastAsia="zh-CN"/>
              </w:rPr>
            </w:pPr>
            <w:r>
              <w:rPr>
                <w:rFonts w:hint="eastAsia" w:ascii="仿宋_GB2312" w:hAnsi="仿宋_GB2312" w:eastAsia="仿宋_GB2312" w:cs="仿宋_GB2312"/>
                <w:i w:val="0"/>
                <w:iCs w:val="0"/>
                <w:color w:val="000000"/>
                <w:sz w:val="18"/>
                <w:szCs w:val="18"/>
                <w:highlight w:val="none"/>
                <w:u w:val="none"/>
                <w:lang w:val="en-US" w:eastAsia="zh-CN"/>
              </w:rPr>
              <w:t>逐步改善</w:t>
            </w:r>
          </w:p>
        </w:tc>
        <w:tc>
          <w:tcPr>
            <w:tcW w:w="8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89617D">
            <w:pPr>
              <w:keepNext w:val="0"/>
              <w:keepLines w:val="0"/>
              <w:pageBreakBefore w:val="0"/>
              <w:kinsoku/>
              <w:wordWrap/>
              <w:overflowPunct/>
              <w:topLinePunct w:val="0"/>
              <w:autoSpaceDE/>
              <w:autoSpaceDN/>
              <w:bidi w:val="0"/>
              <w:adjustRightInd/>
              <w:snapToGrid/>
              <w:spacing w:line="380" w:lineRule="exact"/>
              <w:jc w:val="center"/>
              <w:rPr>
                <w:rFonts w:hint="eastAsia" w:ascii="仿宋_GB2312" w:hAnsi="仿宋_GB2312" w:eastAsia="仿宋_GB2312" w:cs="仿宋_GB2312"/>
                <w:i w:val="0"/>
                <w:iCs w:val="0"/>
                <w:color w:val="000000"/>
                <w:sz w:val="18"/>
                <w:szCs w:val="18"/>
                <w:highlight w:val="none"/>
                <w:u w:val="none"/>
                <w:lang w:val="en-US" w:eastAsia="zh-CN"/>
              </w:rPr>
            </w:pPr>
            <w:r>
              <w:rPr>
                <w:rFonts w:hint="eastAsia" w:ascii="仿宋_GB2312" w:hAnsi="仿宋_GB2312" w:eastAsia="仿宋_GB2312" w:cs="仿宋_GB2312"/>
                <w:i w:val="0"/>
                <w:iCs w:val="0"/>
                <w:color w:val="000000"/>
                <w:sz w:val="18"/>
                <w:szCs w:val="18"/>
                <w:highlight w:val="none"/>
                <w:u w:val="none"/>
                <w:lang w:val="en-US" w:eastAsia="zh-CN"/>
              </w:rPr>
              <w:t>100%</w:t>
            </w:r>
          </w:p>
        </w:tc>
        <w:tc>
          <w:tcPr>
            <w:tcW w:w="7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025581">
            <w:pPr>
              <w:keepNext w:val="0"/>
              <w:keepLines w:val="0"/>
              <w:pageBreakBefore w:val="0"/>
              <w:kinsoku/>
              <w:wordWrap/>
              <w:overflowPunct/>
              <w:topLinePunct w:val="0"/>
              <w:autoSpaceDE/>
              <w:autoSpaceDN/>
              <w:bidi w:val="0"/>
              <w:adjustRightInd/>
              <w:snapToGrid/>
              <w:spacing w:line="380" w:lineRule="exact"/>
              <w:jc w:val="center"/>
              <w:rPr>
                <w:rFonts w:hint="default" w:ascii="仿宋_GB2312" w:hAnsi="仿宋_GB2312" w:eastAsia="仿宋_GB2312" w:cs="仿宋_GB2312"/>
                <w:i w:val="0"/>
                <w:iCs w:val="0"/>
                <w:color w:val="000000"/>
                <w:sz w:val="18"/>
                <w:szCs w:val="18"/>
                <w:highlight w:val="none"/>
                <w:u w:val="none"/>
                <w:lang w:val="en-US" w:eastAsia="zh-CN"/>
              </w:rPr>
            </w:pPr>
            <w:r>
              <w:rPr>
                <w:rFonts w:hint="eastAsia" w:ascii="仿宋_GB2312" w:hAnsi="仿宋_GB2312" w:eastAsia="仿宋_GB2312" w:cs="仿宋_GB2312"/>
                <w:i w:val="0"/>
                <w:iCs w:val="0"/>
                <w:color w:val="000000"/>
                <w:sz w:val="18"/>
                <w:szCs w:val="18"/>
                <w:highlight w:val="none"/>
                <w:u w:val="none"/>
                <w:lang w:val="en-US" w:eastAsia="zh-CN"/>
              </w:rPr>
              <w:t>10</w:t>
            </w:r>
          </w:p>
        </w:tc>
        <w:tc>
          <w:tcPr>
            <w:tcW w:w="12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C67F8D">
            <w:pPr>
              <w:keepNext w:val="0"/>
              <w:keepLines w:val="0"/>
              <w:pageBreakBefore w:val="0"/>
              <w:kinsoku/>
              <w:wordWrap/>
              <w:overflowPunct/>
              <w:topLinePunct w:val="0"/>
              <w:autoSpaceDE/>
              <w:autoSpaceDN/>
              <w:bidi w:val="0"/>
              <w:adjustRightInd/>
              <w:snapToGrid/>
              <w:spacing w:line="380" w:lineRule="exact"/>
              <w:jc w:val="center"/>
              <w:rPr>
                <w:rFonts w:hint="eastAsia" w:ascii="仿宋_GB2312" w:hAnsi="仿宋_GB2312" w:eastAsia="仿宋_GB2312" w:cs="仿宋_GB2312"/>
                <w:i w:val="0"/>
                <w:iCs w:val="0"/>
                <w:color w:val="000000"/>
                <w:sz w:val="18"/>
                <w:szCs w:val="18"/>
                <w:highlight w:val="none"/>
                <w:u w:val="none"/>
              </w:rPr>
            </w:pPr>
          </w:p>
        </w:tc>
      </w:tr>
      <w:tr w14:paraId="64E4F86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917"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9F0076">
            <w:pPr>
              <w:keepNext w:val="0"/>
              <w:keepLines w:val="0"/>
              <w:pageBreakBefore w:val="0"/>
              <w:kinsoku/>
              <w:wordWrap/>
              <w:overflowPunct/>
              <w:topLinePunct w:val="0"/>
              <w:autoSpaceDE/>
              <w:autoSpaceDN/>
              <w:bidi w:val="0"/>
              <w:adjustRightInd/>
              <w:snapToGrid/>
              <w:spacing w:line="380" w:lineRule="exact"/>
              <w:jc w:val="center"/>
              <w:rPr>
                <w:rFonts w:hint="eastAsia" w:ascii="仿宋_GB2312" w:hAnsi="仿宋_GB2312" w:eastAsia="仿宋_GB2312" w:cs="仿宋_GB2312"/>
                <w:i w:val="0"/>
                <w:iCs w:val="0"/>
                <w:color w:val="000000"/>
                <w:sz w:val="18"/>
                <w:szCs w:val="18"/>
                <w:highlight w:val="none"/>
                <w:u w:val="none"/>
              </w:rPr>
            </w:pPr>
          </w:p>
        </w:tc>
        <w:tc>
          <w:tcPr>
            <w:tcW w:w="129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07F8C24">
            <w:pPr>
              <w:keepNext w:val="0"/>
              <w:keepLines w:val="0"/>
              <w:pageBreakBefore w:val="0"/>
              <w:kinsoku/>
              <w:wordWrap/>
              <w:overflowPunct/>
              <w:topLinePunct w:val="0"/>
              <w:autoSpaceDE/>
              <w:autoSpaceDN/>
              <w:bidi w:val="0"/>
              <w:adjustRightInd/>
              <w:snapToGrid/>
              <w:spacing w:line="380" w:lineRule="exact"/>
              <w:jc w:val="center"/>
              <w:rPr>
                <w:rFonts w:hint="eastAsia" w:ascii="仿宋_GB2312" w:hAnsi="仿宋_GB2312" w:eastAsia="仿宋_GB2312" w:cs="仿宋_GB2312"/>
                <w:i w:val="0"/>
                <w:iCs w:val="0"/>
                <w:color w:val="000000"/>
                <w:sz w:val="18"/>
                <w:szCs w:val="18"/>
                <w:highlight w:val="none"/>
                <w:u w:val="none"/>
              </w:rPr>
            </w:pPr>
          </w:p>
        </w:tc>
        <w:tc>
          <w:tcPr>
            <w:tcW w:w="13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57B343">
            <w:pPr>
              <w:keepNext w:val="0"/>
              <w:keepLines w:val="0"/>
              <w:pageBreakBefore w:val="0"/>
              <w:widowControl/>
              <w:suppressLineNumbers w:val="0"/>
              <w:kinsoku/>
              <w:wordWrap/>
              <w:overflowPunct/>
              <w:topLinePunct w:val="0"/>
              <w:autoSpaceDE/>
              <w:autoSpaceDN/>
              <w:bidi w:val="0"/>
              <w:adjustRightInd/>
              <w:snapToGrid/>
              <w:spacing w:line="380" w:lineRule="exact"/>
              <w:jc w:val="center"/>
              <w:textAlignment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kern w:val="0"/>
                <w:sz w:val="18"/>
                <w:szCs w:val="18"/>
                <w:highlight w:val="none"/>
                <w:u w:val="none"/>
                <w:lang w:val="en-US" w:eastAsia="zh-CN" w:bidi="ar"/>
              </w:rPr>
              <w:t>社会效益指标</w:t>
            </w:r>
          </w:p>
        </w:tc>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D2AB4F">
            <w:pPr>
              <w:keepNext w:val="0"/>
              <w:keepLines w:val="0"/>
              <w:pageBreakBefore w:val="0"/>
              <w:kinsoku/>
              <w:wordWrap/>
              <w:overflowPunct/>
              <w:topLinePunct w:val="0"/>
              <w:autoSpaceDE/>
              <w:autoSpaceDN/>
              <w:bidi w:val="0"/>
              <w:adjustRightInd/>
              <w:snapToGrid/>
              <w:spacing w:line="380" w:lineRule="exact"/>
              <w:jc w:val="center"/>
              <w:rPr>
                <w:rFonts w:hint="eastAsia" w:ascii="仿宋_GB2312" w:hAnsi="仿宋_GB2312" w:eastAsia="仿宋_GB2312" w:cs="仿宋_GB2312"/>
                <w:i w:val="0"/>
                <w:iCs w:val="0"/>
                <w:color w:val="000000"/>
                <w:sz w:val="18"/>
                <w:szCs w:val="18"/>
                <w:highlight w:val="none"/>
                <w:u w:val="none"/>
                <w:lang w:val="en-US" w:eastAsia="zh-CN"/>
              </w:rPr>
            </w:pP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8D2ABA">
            <w:pPr>
              <w:keepNext w:val="0"/>
              <w:keepLines w:val="0"/>
              <w:pageBreakBefore w:val="0"/>
              <w:kinsoku/>
              <w:wordWrap/>
              <w:overflowPunct/>
              <w:topLinePunct w:val="0"/>
              <w:autoSpaceDE/>
              <w:autoSpaceDN/>
              <w:bidi w:val="0"/>
              <w:adjustRightInd/>
              <w:snapToGrid/>
              <w:spacing w:line="380" w:lineRule="exact"/>
              <w:jc w:val="center"/>
              <w:rPr>
                <w:rFonts w:hint="eastAsia" w:ascii="仿宋_GB2312" w:hAnsi="仿宋_GB2312" w:eastAsia="仿宋_GB2312" w:cs="仿宋_GB2312"/>
                <w:i w:val="0"/>
                <w:iCs w:val="0"/>
                <w:color w:val="000000"/>
                <w:sz w:val="18"/>
                <w:szCs w:val="18"/>
                <w:highlight w:val="none"/>
                <w:u w:val="none"/>
                <w:lang w:val="en-US" w:eastAsia="zh-CN"/>
              </w:rPr>
            </w:pPr>
          </w:p>
        </w:tc>
        <w:tc>
          <w:tcPr>
            <w:tcW w:w="11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644E37">
            <w:pPr>
              <w:keepNext w:val="0"/>
              <w:keepLines w:val="0"/>
              <w:pageBreakBefore w:val="0"/>
              <w:kinsoku/>
              <w:wordWrap/>
              <w:overflowPunct/>
              <w:topLinePunct w:val="0"/>
              <w:autoSpaceDE/>
              <w:autoSpaceDN/>
              <w:bidi w:val="0"/>
              <w:adjustRightInd/>
              <w:snapToGrid/>
              <w:spacing w:line="380" w:lineRule="exact"/>
              <w:jc w:val="center"/>
              <w:rPr>
                <w:rFonts w:hint="eastAsia" w:ascii="仿宋_GB2312" w:hAnsi="仿宋_GB2312" w:eastAsia="仿宋_GB2312" w:cs="仿宋_GB2312"/>
                <w:i w:val="0"/>
                <w:iCs w:val="0"/>
                <w:color w:val="000000"/>
                <w:sz w:val="18"/>
                <w:szCs w:val="18"/>
                <w:highlight w:val="none"/>
                <w:u w:val="none"/>
                <w:lang w:val="en-US" w:eastAsia="zh-CN"/>
              </w:rPr>
            </w:pP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753EB8">
            <w:pPr>
              <w:keepNext w:val="0"/>
              <w:keepLines w:val="0"/>
              <w:pageBreakBefore w:val="0"/>
              <w:kinsoku/>
              <w:wordWrap/>
              <w:overflowPunct/>
              <w:topLinePunct w:val="0"/>
              <w:autoSpaceDE/>
              <w:autoSpaceDN/>
              <w:bidi w:val="0"/>
              <w:adjustRightInd/>
              <w:snapToGrid/>
              <w:spacing w:line="380" w:lineRule="exact"/>
              <w:jc w:val="center"/>
              <w:rPr>
                <w:rFonts w:hint="eastAsia" w:ascii="仿宋_GB2312" w:hAnsi="仿宋_GB2312" w:eastAsia="仿宋_GB2312" w:cs="仿宋_GB2312"/>
                <w:i w:val="0"/>
                <w:iCs w:val="0"/>
                <w:color w:val="000000"/>
                <w:sz w:val="18"/>
                <w:szCs w:val="18"/>
                <w:highlight w:val="none"/>
                <w:u w:val="none"/>
                <w:lang w:val="en-US" w:eastAsia="zh-CN"/>
              </w:rPr>
            </w:pPr>
          </w:p>
        </w:tc>
        <w:tc>
          <w:tcPr>
            <w:tcW w:w="8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B97003">
            <w:pPr>
              <w:keepNext w:val="0"/>
              <w:keepLines w:val="0"/>
              <w:pageBreakBefore w:val="0"/>
              <w:kinsoku/>
              <w:wordWrap/>
              <w:overflowPunct/>
              <w:topLinePunct w:val="0"/>
              <w:autoSpaceDE/>
              <w:autoSpaceDN/>
              <w:bidi w:val="0"/>
              <w:adjustRightInd/>
              <w:snapToGrid/>
              <w:spacing w:line="380" w:lineRule="exact"/>
              <w:jc w:val="center"/>
              <w:rPr>
                <w:rFonts w:hint="eastAsia" w:ascii="仿宋_GB2312" w:hAnsi="仿宋_GB2312" w:eastAsia="仿宋_GB2312" w:cs="仿宋_GB2312"/>
                <w:i w:val="0"/>
                <w:iCs w:val="0"/>
                <w:color w:val="000000"/>
                <w:sz w:val="18"/>
                <w:szCs w:val="18"/>
                <w:highlight w:val="none"/>
                <w:u w:val="none"/>
                <w:lang w:val="en-US" w:eastAsia="zh-CN"/>
              </w:rPr>
            </w:pPr>
          </w:p>
        </w:tc>
        <w:tc>
          <w:tcPr>
            <w:tcW w:w="8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B46332">
            <w:pPr>
              <w:keepNext w:val="0"/>
              <w:keepLines w:val="0"/>
              <w:pageBreakBefore w:val="0"/>
              <w:kinsoku/>
              <w:wordWrap/>
              <w:overflowPunct/>
              <w:topLinePunct w:val="0"/>
              <w:autoSpaceDE/>
              <w:autoSpaceDN/>
              <w:bidi w:val="0"/>
              <w:adjustRightInd/>
              <w:snapToGrid/>
              <w:spacing w:line="380" w:lineRule="exact"/>
              <w:jc w:val="center"/>
              <w:rPr>
                <w:rFonts w:hint="eastAsia" w:ascii="仿宋_GB2312" w:hAnsi="仿宋_GB2312" w:eastAsia="仿宋_GB2312" w:cs="仿宋_GB2312"/>
                <w:i w:val="0"/>
                <w:iCs w:val="0"/>
                <w:color w:val="000000"/>
                <w:sz w:val="18"/>
                <w:szCs w:val="18"/>
                <w:highlight w:val="none"/>
                <w:u w:val="none"/>
                <w:lang w:val="en-US" w:eastAsia="zh-CN"/>
              </w:rPr>
            </w:pPr>
          </w:p>
        </w:tc>
        <w:tc>
          <w:tcPr>
            <w:tcW w:w="7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0F2817">
            <w:pPr>
              <w:keepNext w:val="0"/>
              <w:keepLines w:val="0"/>
              <w:pageBreakBefore w:val="0"/>
              <w:kinsoku/>
              <w:wordWrap/>
              <w:overflowPunct/>
              <w:topLinePunct w:val="0"/>
              <w:autoSpaceDE/>
              <w:autoSpaceDN/>
              <w:bidi w:val="0"/>
              <w:adjustRightInd/>
              <w:snapToGrid/>
              <w:spacing w:line="380" w:lineRule="exact"/>
              <w:jc w:val="center"/>
              <w:rPr>
                <w:rFonts w:hint="eastAsia" w:ascii="仿宋_GB2312" w:hAnsi="仿宋_GB2312" w:eastAsia="仿宋_GB2312" w:cs="仿宋_GB2312"/>
                <w:i w:val="0"/>
                <w:iCs w:val="0"/>
                <w:color w:val="000000"/>
                <w:sz w:val="18"/>
                <w:szCs w:val="18"/>
                <w:highlight w:val="none"/>
                <w:u w:val="none"/>
                <w:lang w:val="en-US" w:eastAsia="zh-CN"/>
              </w:rPr>
            </w:pPr>
          </w:p>
        </w:tc>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01DE58">
            <w:pPr>
              <w:keepNext w:val="0"/>
              <w:keepLines w:val="0"/>
              <w:pageBreakBefore w:val="0"/>
              <w:kinsoku/>
              <w:wordWrap/>
              <w:overflowPunct/>
              <w:topLinePunct w:val="0"/>
              <w:autoSpaceDE/>
              <w:autoSpaceDN/>
              <w:bidi w:val="0"/>
              <w:adjustRightInd/>
              <w:snapToGrid/>
              <w:spacing w:line="380" w:lineRule="exact"/>
              <w:jc w:val="center"/>
              <w:rPr>
                <w:rFonts w:hint="eastAsia" w:ascii="仿宋_GB2312" w:hAnsi="仿宋_GB2312" w:eastAsia="仿宋_GB2312" w:cs="仿宋_GB2312"/>
                <w:i w:val="0"/>
                <w:iCs w:val="0"/>
                <w:color w:val="000000"/>
                <w:sz w:val="18"/>
                <w:szCs w:val="18"/>
                <w:highlight w:val="none"/>
                <w:u w:val="none"/>
                <w:lang w:val="en-US" w:eastAsia="zh-CN"/>
              </w:rPr>
            </w:pPr>
          </w:p>
        </w:tc>
        <w:tc>
          <w:tcPr>
            <w:tcW w:w="8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BF0AA1">
            <w:pPr>
              <w:keepNext w:val="0"/>
              <w:keepLines w:val="0"/>
              <w:pageBreakBefore w:val="0"/>
              <w:kinsoku/>
              <w:wordWrap/>
              <w:overflowPunct/>
              <w:topLinePunct w:val="0"/>
              <w:autoSpaceDE/>
              <w:autoSpaceDN/>
              <w:bidi w:val="0"/>
              <w:adjustRightInd/>
              <w:snapToGrid/>
              <w:spacing w:line="380" w:lineRule="exact"/>
              <w:jc w:val="center"/>
              <w:rPr>
                <w:rFonts w:hint="eastAsia" w:ascii="仿宋_GB2312" w:hAnsi="仿宋_GB2312" w:eastAsia="仿宋_GB2312" w:cs="仿宋_GB2312"/>
                <w:i w:val="0"/>
                <w:iCs w:val="0"/>
                <w:color w:val="000000"/>
                <w:sz w:val="18"/>
                <w:szCs w:val="18"/>
                <w:highlight w:val="none"/>
                <w:u w:val="none"/>
                <w:lang w:val="en-US" w:eastAsia="zh-CN"/>
              </w:rPr>
            </w:pPr>
          </w:p>
        </w:tc>
        <w:tc>
          <w:tcPr>
            <w:tcW w:w="7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979110">
            <w:pPr>
              <w:keepNext w:val="0"/>
              <w:keepLines w:val="0"/>
              <w:pageBreakBefore w:val="0"/>
              <w:kinsoku/>
              <w:wordWrap/>
              <w:overflowPunct/>
              <w:topLinePunct w:val="0"/>
              <w:autoSpaceDE/>
              <w:autoSpaceDN/>
              <w:bidi w:val="0"/>
              <w:adjustRightInd/>
              <w:snapToGrid/>
              <w:spacing w:line="380" w:lineRule="exact"/>
              <w:jc w:val="center"/>
              <w:rPr>
                <w:rFonts w:hint="eastAsia" w:ascii="仿宋_GB2312" w:hAnsi="仿宋_GB2312" w:eastAsia="仿宋_GB2312" w:cs="仿宋_GB2312"/>
                <w:i w:val="0"/>
                <w:iCs w:val="0"/>
                <w:color w:val="000000"/>
                <w:sz w:val="18"/>
                <w:szCs w:val="18"/>
                <w:highlight w:val="none"/>
                <w:u w:val="none"/>
                <w:lang w:val="en-US" w:eastAsia="zh-CN"/>
              </w:rPr>
            </w:pPr>
          </w:p>
        </w:tc>
        <w:tc>
          <w:tcPr>
            <w:tcW w:w="12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C123DF">
            <w:pPr>
              <w:keepNext w:val="0"/>
              <w:keepLines w:val="0"/>
              <w:pageBreakBefore w:val="0"/>
              <w:kinsoku/>
              <w:wordWrap/>
              <w:overflowPunct/>
              <w:topLinePunct w:val="0"/>
              <w:autoSpaceDE/>
              <w:autoSpaceDN/>
              <w:bidi w:val="0"/>
              <w:adjustRightInd/>
              <w:snapToGrid/>
              <w:spacing w:line="380" w:lineRule="exact"/>
              <w:jc w:val="center"/>
              <w:rPr>
                <w:rFonts w:hint="eastAsia" w:ascii="仿宋_GB2312" w:hAnsi="仿宋_GB2312" w:eastAsia="仿宋_GB2312" w:cs="仿宋_GB2312"/>
                <w:i w:val="0"/>
                <w:iCs w:val="0"/>
                <w:color w:val="000000"/>
                <w:sz w:val="18"/>
                <w:szCs w:val="18"/>
                <w:highlight w:val="none"/>
                <w:u w:val="none"/>
              </w:rPr>
            </w:pPr>
          </w:p>
        </w:tc>
      </w:tr>
      <w:tr w14:paraId="7EE57F1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917"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7E7541">
            <w:pPr>
              <w:keepNext w:val="0"/>
              <w:keepLines w:val="0"/>
              <w:pageBreakBefore w:val="0"/>
              <w:kinsoku/>
              <w:wordWrap/>
              <w:overflowPunct/>
              <w:topLinePunct w:val="0"/>
              <w:autoSpaceDE/>
              <w:autoSpaceDN/>
              <w:bidi w:val="0"/>
              <w:adjustRightInd/>
              <w:snapToGrid/>
              <w:spacing w:line="380" w:lineRule="exact"/>
              <w:jc w:val="center"/>
              <w:rPr>
                <w:rFonts w:hint="eastAsia" w:ascii="仿宋_GB2312" w:hAnsi="仿宋_GB2312" w:eastAsia="仿宋_GB2312" w:cs="仿宋_GB2312"/>
                <w:i w:val="0"/>
                <w:iCs w:val="0"/>
                <w:color w:val="000000"/>
                <w:sz w:val="18"/>
                <w:szCs w:val="18"/>
                <w:highlight w:val="none"/>
                <w:u w:val="none"/>
              </w:rPr>
            </w:pPr>
          </w:p>
        </w:tc>
        <w:tc>
          <w:tcPr>
            <w:tcW w:w="129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545CC69">
            <w:pPr>
              <w:keepNext w:val="0"/>
              <w:keepLines w:val="0"/>
              <w:pageBreakBefore w:val="0"/>
              <w:kinsoku/>
              <w:wordWrap/>
              <w:overflowPunct/>
              <w:topLinePunct w:val="0"/>
              <w:autoSpaceDE/>
              <w:autoSpaceDN/>
              <w:bidi w:val="0"/>
              <w:adjustRightInd/>
              <w:snapToGrid/>
              <w:spacing w:line="380" w:lineRule="exact"/>
              <w:jc w:val="center"/>
              <w:rPr>
                <w:rFonts w:hint="eastAsia" w:ascii="仿宋_GB2312" w:hAnsi="仿宋_GB2312" w:eastAsia="仿宋_GB2312" w:cs="仿宋_GB2312"/>
                <w:i w:val="0"/>
                <w:iCs w:val="0"/>
                <w:color w:val="000000"/>
                <w:sz w:val="18"/>
                <w:szCs w:val="18"/>
                <w:highlight w:val="none"/>
                <w:u w:val="none"/>
              </w:rPr>
            </w:pPr>
          </w:p>
        </w:tc>
        <w:tc>
          <w:tcPr>
            <w:tcW w:w="13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597894">
            <w:pPr>
              <w:keepNext w:val="0"/>
              <w:keepLines w:val="0"/>
              <w:pageBreakBefore w:val="0"/>
              <w:widowControl/>
              <w:suppressLineNumbers w:val="0"/>
              <w:kinsoku/>
              <w:wordWrap/>
              <w:overflowPunct/>
              <w:topLinePunct w:val="0"/>
              <w:autoSpaceDE/>
              <w:autoSpaceDN/>
              <w:bidi w:val="0"/>
              <w:adjustRightInd/>
              <w:snapToGrid/>
              <w:spacing w:line="380" w:lineRule="exact"/>
              <w:jc w:val="center"/>
              <w:textAlignment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kern w:val="0"/>
                <w:sz w:val="18"/>
                <w:szCs w:val="18"/>
                <w:highlight w:val="none"/>
                <w:u w:val="none"/>
                <w:lang w:val="en-US" w:eastAsia="zh-CN" w:bidi="ar"/>
              </w:rPr>
              <w:t>生态效益指标</w:t>
            </w:r>
          </w:p>
        </w:tc>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A63E19">
            <w:pPr>
              <w:keepNext w:val="0"/>
              <w:keepLines w:val="0"/>
              <w:pageBreakBefore w:val="0"/>
              <w:kinsoku/>
              <w:wordWrap/>
              <w:overflowPunct/>
              <w:topLinePunct w:val="0"/>
              <w:autoSpaceDE/>
              <w:autoSpaceDN/>
              <w:bidi w:val="0"/>
              <w:adjustRightInd/>
              <w:snapToGrid/>
              <w:spacing w:line="380" w:lineRule="exact"/>
              <w:jc w:val="center"/>
              <w:rPr>
                <w:rFonts w:hint="eastAsia" w:ascii="仿宋_GB2312" w:hAnsi="仿宋_GB2312" w:eastAsia="仿宋_GB2312" w:cs="仿宋_GB2312"/>
                <w:i w:val="0"/>
                <w:iCs w:val="0"/>
                <w:color w:val="000000"/>
                <w:sz w:val="18"/>
                <w:szCs w:val="18"/>
                <w:highlight w:val="none"/>
                <w:u w:val="none"/>
                <w:lang w:val="en-US" w:eastAsia="zh-CN"/>
              </w:rPr>
            </w:pPr>
            <w:r>
              <w:rPr>
                <w:rFonts w:hint="eastAsia" w:ascii="仿宋_GB2312" w:hAnsi="仿宋_GB2312" w:eastAsia="仿宋_GB2312" w:cs="仿宋_GB2312"/>
                <w:i w:val="0"/>
                <w:iCs w:val="0"/>
                <w:color w:val="000000"/>
                <w:sz w:val="18"/>
                <w:szCs w:val="18"/>
                <w:highlight w:val="none"/>
                <w:u w:val="none"/>
                <w:lang w:val="en-US" w:eastAsia="zh-CN"/>
              </w:rPr>
              <w:t>持续发挥生态效益</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CBB896">
            <w:pPr>
              <w:keepNext w:val="0"/>
              <w:keepLines w:val="0"/>
              <w:pageBreakBefore w:val="0"/>
              <w:kinsoku/>
              <w:wordWrap/>
              <w:overflowPunct/>
              <w:topLinePunct w:val="0"/>
              <w:autoSpaceDE/>
              <w:autoSpaceDN/>
              <w:bidi w:val="0"/>
              <w:adjustRightInd/>
              <w:snapToGrid/>
              <w:spacing w:line="380" w:lineRule="exact"/>
              <w:jc w:val="center"/>
              <w:rPr>
                <w:rFonts w:hint="eastAsia" w:ascii="仿宋_GB2312" w:hAnsi="仿宋_GB2312" w:eastAsia="仿宋_GB2312" w:cs="仿宋_GB2312"/>
                <w:i w:val="0"/>
                <w:iCs w:val="0"/>
                <w:color w:val="000000"/>
                <w:sz w:val="18"/>
                <w:szCs w:val="18"/>
                <w:highlight w:val="none"/>
                <w:u w:val="none"/>
                <w:lang w:val="en-US" w:eastAsia="zh-CN"/>
              </w:rPr>
            </w:pPr>
            <w:r>
              <w:rPr>
                <w:rFonts w:hint="eastAsia" w:ascii="仿宋_GB2312" w:hAnsi="仿宋_GB2312" w:eastAsia="仿宋_GB2312" w:cs="仿宋_GB2312"/>
                <w:i w:val="0"/>
                <w:iCs w:val="0"/>
                <w:color w:val="000000"/>
                <w:sz w:val="18"/>
                <w:szCs w:val="18"/>
                <w:highlight w:val="none"/>
                <w:u w:val="none"/>
                <w:lang w:val="en-US" w:eastAsia="zh-CN"/>
              </w:rPr>
              <w:t>显著</w:t>
            </w:r>
          </w:p>
        </w:tc>
        <w:tc>
          <w:tcPr>
            <w:tcW w:w="11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7902E6">
            <w:pPr>
              <w:keepNext w:val="0"/>
              <w:keepLines w:val="0"/>
              <w:pageBreakBefore w:val="0"/>
              <w:kinsoku/>
              <w:wordWrap/>
              <w:overflowPunct/>
              <w:topLinePunct w:val="0"/>
              <w:autoSpaceDE/>
              <w:autoSpaceDN/>
              <w:bidi w:val="0"/>
              <w:adjustRightInd/>
              <w:snapToGrid/>
              <w:spacing w:line="380" w:lineRule="exact"/>
              <w:jc w:val="center"/>
              <w:rPr>
                <w:rFonts w:hint="eastAsia" w:ascii="仿宋_GB2312" w:hAnsi="仿宋_GB2312" w:eastAsia="仿宋_GB2312" w:cs="仿宋_GB2312"/>
                <w:i w:val="0"/>
                <w:iCs w:val="0"/>
                <w:color w:val="000000"/>
                <w:sz w:val="18"/>
                <w:szCs w:val="18"/>
                <w:highlight w:val="none"/>
                <w:u w:val="none"/>
                <w:lang w:val="en-US" w:eastAsia="zh-CN"/>
              </w:rPr>
            </w:pPr>
            <w:r>
              <w:rPr>
                <w:rFonts w:hint="eastAsia" w:ascii="仿宋_GB2312" w:hAnsi="仿宋_GB2312" w:eastAsia="仿宋_GB2312" w:cs="仿宋_GB2312"/>
                <w:i w:val="0"/>
                <w:iCs w:val="0"/>
                <w:color w:val="000000"/>
                <w:sz w:val="18"/>
                <w:szCs w:val="18"/>
                <w:highlight w:val="none"/>
                <w:u w:val="none"/>
                <w:lang w:val="en-US" w:eastAsia="zh-CN"/>
              </w:rPr>
              <w:t>计划标准</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B00D07">
            <w:pPr>
              <w:keepNext w:val="0"/>
              <w:keepLines w:val="0"/>
              <w:pageBreakBefore w:val="0"/>
              <w:kinsoku/>
              <w:wordWrap/>
              <w:overflowPunct/>
              <w:topLinePunct w:val="0"/>
              <w:autoSpaceDE/>
              <w:autoSpaceDN/>
              <w:bidi w:val="0"/>
              <w:adjustRightInd/>
              <w:snapToGrid/>
              <w:spacing w:line="380" w:lineRule="exact"/>
              <w:jc w:val="center"/>
              <w:rPr>
                <w:rFonts w:hint="eastAsia" w:ascii="仿宋_GB2312" w:hAnsi="仿宋_GB2312" w:eastAsia="仿宋_GB2312" w:cs="仿宋_GB2312"/>
                <w:i w:val="0"/>
                <w:iCs w:val="0"/>
                <w:color w:val="000000"/>
                <w:sz w:val="18"/>
                <w:szCs w:val="18"/>
                <w:highlight w:val="none"/>
                <w:u w:val="none"/>
                <w:lang w:val="en-US" w:eastAsia="zh-CN"/>
              </w:rPr>
            </w:pPr>
          </w:p>
        </w:tc>
        <w:tc>
          <w:tcPr>
            <w:tcW w:w="8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932AF6">
            <w:pPr>
              <w:keepNext w:val="0"/>
              <w:keepLines w:val="0"/>
              <w:pageBreakBefore w:val="0"/>
              <w:kinsoku/>
              <w:wordWrap/>
              <w:overflowPunct/>
              <w:topLinePunct w:val="0"/>
              <w:autoSpaceDE/>
              <w:autoSpaceDN/>
              <w:bidi w:val="0"/>
              <w:adjustRightInd/>
              <w:snapToGrid/>
              <w:spacing w:line="380" w:lineRule="exact"/>
              <w:jc w:val="center"/>
              <w:rPr>
                <w:rFonts w:hint="default" w:ascii="仿宋_GB2312" w:hAnsi="仿宋_GB2312" w:eastAsia="仿宋_GB2312" w:cs="仿宋_GB2312"/>
                <w:i w:val="0"/>
                <w:iCs w:val="0"/>
                <w:color w:val="000000"/>
                <w:sz w:val="18"/>
                <w:szCs w:val="18"/>
                <w:highlight w:val="none"/>
                <w:u w:val="none"/>
                <w:lang w:val="en-US" w:eastAsia="zh-CN"/>
              </w:rPr>
            </w:pPr>
            <w:r>
              <w:rPr>
                <w:rFonts w:hint="eastAsia" w:ascii="仿宋_GB2312" w:hAnsi="仿宋_GB2312" w:eastAsia="仿宋_GB2312" w:cs="仿宋_GB2312"/>
                <w:i w:val="0"/>
                <w:iCs w:val="0"/>
                <w:color w:val="000000"/>
                <w:sz w:val="18"/>
                <w:szCs w:val="18"/>
                <w:highlight w:val="none"/>
                <w:u w:val="none"/>
                <w:lang w:val="en-US" w:eastAsia="zh-CN"/>
              </w:rPr>
              <w:t>10</w:t>
            </w:r>
          </w:p>
        </w:tc>
        <w:tc>
          <w:tcPr>
            <w:tcW w:w="8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E13854">
            <w:pPr>
              <w:keepNext w:val="0"/>
              <w:keepLines w:val="0"/>
              <w:pageBreakBefore w:val="0"/>
              <w:kinsoku/>
              <w:wordWrap/>
              <w:overflowPunct/>
              <w:topLinePunct w:val="0"/>
              <w:autoSpaceDE/>
              <w:autoSpaceDN/>
              <w:bidi w:val="0"/>
              <w:adjustRightInd/>
              <w:snapToGrid/>
              <w:spacing w:line="380" w:lineRule="exact"/>
              <w:jc w:val="center"/>
              <w:rPr>
                <w:rFonts w:hint="eastAsia" w:ascii="仿宋_GB2312" w:hAnsi="仿宋_GB2312" w:eastAsia="仿宋_GB2312" w:cs="仿宋_GB2312"/>
                <w:i w:val="0"/>
                <w:iCs w:val="0"/>
                <w:color w:val="000000"/>
                <w:sz w:val="18"/>
                <w:szCs w:val="18"/>
                <w:highlight w:val="none"/>
                <w:u w:val="none"/>
                <w:lang w:val="en-US" w:eastAsia="zh-CN"/>
              </w:rPr>
            </w:pPr>
            <w:r>
              <w:rPr>
                <w:rFonts w:hint="eastAsia" w:ascii="仿宋_GB2312" w:hAnsi="仿宋_GB2312" w:eastAsia="仿宋_GB2312" w:cs="仿宋_GB2312"/>
                <w:i w:val="0"/>
                <w:iCs w:val="0"/>
                <w:color w:val="000000"/>
                <w:sz w:val="18"/>
                <w:szCs w:val="18"/>
                <w:highlight w:val="none"/>
                <w:u w:val="none"/>
                <w:lang w:val="en-US" w:eastAsia="zh-CN"/>
              </w:rPr>
              <w:t>按评判等级</w:t>
            </w:r>
          </w:p>
        </w:tc>
        <w:tc>
          <w:tcPr>
            <w:tcW w:w="7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95E6C4">
            <w:pPr>
              <w:keepNext w:val="0"/>
              <w:keepLines w:val="0"/>
              <w:pageBreakBefore w:val="0"/>
              <w:kinsoku/>
              <w:wordWrap/>
              <w:overflowPunct/>
              <w:topLinePunct w:val="0"/>
              <w:autoSpaceDE/>
              <w:autoSpaceDN/>
              <w:bidi w:val="0"/>
              <w:adjustRightInd/>
              <w:snapToGrid/>
              <w:spacing w:line="380" w:lineRule="exact"/>
              <w:jc w:val="center"/>
              <w:rPr>
                <w:rFonts w:hint="eastAsia" w:ascii="仿宋_GB2312" w:hAnsi="仿宋_GB2312" w:eastAsia="仿宋_GB2312" w:cs="仿宋_GB2312"/>
                <w:i w:val="0"/>
                <w:iCs w:val="0"/>
                <w:color w:val="000000"/>
                <w:sz w:val="18"/>
                <w:szCs w:val="18"/>
                <w:highlight w:val="none"/>
                <w:u w:val="none"/>
                <w:lang w:val="en-US" w:eastAsia="zh-CN"/>
              </w:rPr>
            </w:pPr>
            <w:r>
              <w:rPr>
                <w:rFonts w:hint="eastAsia" w:ascii="仿宋_GB2312" w:hAnsi="仿宋_GB2312" w:eastAsia="仿宋_GB2312" w:cs="仿宋_GB2312"/>
                <w:i w:val="0"/>
                <w:iCs w:val="0"/>
                <w:color w:val="000000"/>
                <w:sz w:val="18"/>
                <w:szCs w:val="18"/>
                <w:highlight w:val="none"/>
                <w:u w:val="none"/>
                <w:lang w:val="en-US" w:eastAsia="zh-CN"/>
              </w:rPr>
              <w:t>说明材料</w:t>
            </w:r>
          </w:p>
        </w:tc>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A7AE42">
            <w:pPr>
              <w:keepNext w:val="0"/>
              <w:keepLines w:val="0"/>
              <w:pageBreakBefore w:val="0"/>
              <w:kinsoku/>
              <w:wordWrap/>
              <w:overflowPunct/>
              <w:topLinePunct w:val="0"/>
              <w:autoSpaceDE/>
              <w:autoSpaceDN/>
              <w:bidi w:val="0"/>
              <w:adjustRightInd/>
              <w:snapToGrid/>
              <w:spacing w:line="380" w:lineRule="exact"/>
              <w:jc w:val="center"/>
              <w:rPr>
                <w:rFonts w:hint="eastAsia" w:ascii="仿宋_GB2312" w:hAnsi="仿宋_GB2312" w:eastAsia="仿宋_GB2312" w:cs="仿宋_GB2312"/>
                <w:i w:val="0"/>
                <w:iCs w:val="0"/>
                <w:color w:val="000000"/>
                <w:sz w:val="18"/>
                <w:szCs w:val="18"/>
                <w:highlight w:val="none"/>
                <w:u w:val="none"/>
                <w:lang w:val="en-US" w:eastAsia="zh-CN"/>
              </w:rPr>
            </w:pPr>
            <w:r>
              <w:rPr>
                <w:rFonts w:hint="eastAsia" w:ascii="仿宋_GB2312" w:hAnsi="仿宋_GB2312" w:eastAsia="仿宋_GB2312" w:cs="仿宋_GB2312"/>
                <w:i w:val="0"/>
                <w:iCs w:val="0"/>
                <w:color w:val="000000"/>
                <w:sz w:val="18"/>
                <w:szCs w:val="18"/>
                <w:highlight w:val="none"/>
                <w:u w:val="none"/>
                <w:lang w:val="en-US" w:eastAsia="zh-CN"/>
              </w:rPr>
              <w:t>显著</w:t>
            </w:r>
          </w:p>
        </w:tc>
        <w:tc>
          <w:tcPr>
            <w:tcW w:w="8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8E6B67">
            <w:pPr>
              <w:keepNext w:val="0"/>
              <w:keepLines w:val="0"/>
              <w:pageBreakBefore w:val="0"/>
              <w:kinsoku/>
              <w:wordWrap/>
              <w:overflowPunct/>
              <w:topLinePunct w:val="0"/>
              <w:autoSpaceDE/>
              <w:autoSpaceDN/>
              <w:bidi w:val="0"/>
              <w:adjustRightInd/>
              <w:snapToGrid/>
              <w:spacing w:line="380" w:lineRule="exact"/>
              <w:jc w:val="center"/>
              <w:rPr>
                <w:rFonts w:hint="default" w:ascii="仿宋_GB2312" w:hAnsi="仿宋_GB2312" w:eastAsia="仿宋_GB2312" w:cs="仿宋_GB2312"/>
                <w:i w:val="0"/>
                <w:iCs w:val="0"/>
                <w:color w:val="000000"/>
                <w:sz w:val="18"/>
                <w:szCs w:val="18"/>
                <w:highlight w:val="none"/>
                <w:u w:val="none"/>
                <w:lang w:val="en-US" w:eastAsia="zh-CN"/>
              </w:rPr>
            </w:pPr>
            <w:r>
              <w:rPr>
                <w:rFonts w:hint="eastAsia" w:ascii="仿宋_GB2312" w:hAnsi="仿宋_GB2312" w:eastAsia="仿宋_GB2312" w:cs="仿宋_GB2312"/>
                <w:i w:val="0"/>
                <w:iCs w:val="0"/>
                <w:color w:val="000000"/>
                <w:sz w:val="18"/>
                <w:szCs w:val="18"/>
                <w:highlight w:val="none"/>
                <w:u w:val="none"/>
                <w:lang w:val="en-US" w:eastAsia="zh-CN"/>
              </w:rPr>
              <w:t>100%</w:t>
            </w:r>
          </w:p>
        </w:tc>
        <w:tc>
          <w:tcPr>
            <w:tcW w:w="7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28EF59">
            <w:pPr>
              <w:keepNext w:val="0"/>
              <w:keepLines w:val="0"/>
              <w:pageBreakBefore w:val="0"/>
              <w:kinsoku/>
              <w:wordWrap/>
              <w:overflowPunct/>
              <w:topLinePunct w:val="0"/>
              <w:autoSpaceDE/>
              <w:autoSpaceDN/>
              <w:bidi w:val="0"/>
              <w:adjustRightInd/>
              <w:snapToGrid/>
              <w:spacing w:line="380" w:lineRule="exact"/>
              <w:jc w:val="center"/>
              <w:rPr>
                <w:rFonts w:hint="default" w:ascii="仿宋_GB2312" w:hAnsi="仿宋_GB2312" w:eastAsia="仿宋_GB2312" w:cs="仿宋_GB2312"/>
                <w:i w:val="0"/>
                <w:iCs w:val="0"/>
                <w:color w:val="000000"/>
                <w:sz w:val="18"/>
                <w:szCs w:val="18"/>
                <w:highlight w:val="none"/>
                <w:u w:val="none"/>
                <w:lang w:val="en-US" w:eastAsia="zh-CN"/>
              </w:rPr>
            </w:pPr>
            <w:r>
              <w:rPr>
                <w:rFonts w:hint="eastAsia" w:ascii="仿宋_GB2312" w:hAnsi="仿宋_GB2312" w:eastAsia="仿宋_GB2312" w:cs="仿宋_GB2312"/>
                <w:i w:val="0"/>
                <w:iCs w:val="0"/>
                <w:color w:val="000000"/>
                <w:sz w:val="18"/>
                <w:szCs w:val="18"/>
                <w:highlight w:val="none"/>
                <w:u w:val="none"/>
                <w:lang w:val="en-US" w:eastAsia="zh-CN"/>
              </w:rPr>
              <w:t>10</w:t>
            </w:r>
          </w:p>
        </w:tc>
        <w:tc>
          <w:tcPr>
            <w:tcW w:w="12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BB03DA">
            <w:pPr>
              <w:keepNext w:val="0"/>
              <w:keepLines w:val="0"/>
              <w:pageBreakBefore w:val="0"/>
              <w:kinsoku/>
              <w:wordWrap/>
              <w:overflowPunct/>
              <w:topLinePunct w:val="0"/>
              <w:autoSpaceDE/>
              <w:autoSpaceDN/>
              <w:bidi w:val="0"/>
              <w:adjustRightInd/>
              <w:snapToGrid/>
              <w:spacing w:line="380" w:lineRule="exact"/>
              <w:jc w:val="center"/>
              <w:rPr>
                <w:rFonts w:hint="eastAsia" w:ascii="仿宋_GB2312" w:hAnsi="仿宋_GB2312" w:eastAsia="仿宋_GB2312" w:cs="仿宋_GB2312"/>
                <w:i w:val="0"/>
                <w:iCs w:val="0"/>
                <w:color w:val="000000"/>
                <w:sz w:val="18"/>
                <w:szCs w:val="18"/>
                <w:highlight w:val="none"/>
                <w:u w:val="none"/>
              </w:rPr>
            </w:pPr>
          </w:p>
        </w:tc>
      </w:tr>
      <w:tr w14:paraId="5D1E062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917"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193B7D">
            <w:pPr>
              <w:keepNext w:val="0"/>
              <w:keepLines w:val="0"/>
              <w:pageBreakBefore w:val="0"/>
              <w:kinsoku/>
              <w:wordWrap/>
              <w:overflowPunct/>
              <w:topLinePunct w:val="0"/>
              <w:autoSpaceDE/>
              <w:autoSpaceDN/>
              <w:bidi w:val="0"/>
              <w:adjustRightInd/>
              <w:snapToGrid/>
              <w:spacing w:line="380" w:lineRule="exact"/>
              <w:jc w:val="center"/>
              <w:rPr>
                <w:rFonts w:hint="eastAsia" w:ascii="仿宋_GB2312" w:hAnsi="仿宋_GB2312" w:eastAsia="仿宋_GB2312" w:cs="仿宋_GB2312"/>
                <w:i w:val="0"/>
                <w:iCs w:val="0"/>
                <w:color w:val="000000"/>
                <w:sz w:val="18"/>
                <w:szCs w:val="18"/>
                <w:highlight w:val="none"/>
                <w:u w:val="none"/>
              </w:rPr>
            </w:pPr>
          </w:p>
        </w:tc>
        <w:tc>
          <w:tcPr>
            <w:tcW w:w="12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1E2BFD">
            <w:pPr>
              <w:keepNext w:val="0"/>
              <w:keepLines w:val="0"/>
              <w:pageBreakBefore w:val="0"/>
              <w:widowControl/>
              <w:suppressLineNumbers w:val="0"/>
              <w:kinsoku/>
              <w:wordWrap/>
              <w:overflowPunct/>
              <w:topLinePunct w:val="0"/>
              <w:autoSpaceDE/>
              <w:autoSpaceDN/>
              <w:bidi w:val="0"/>
              <w:adjustRightInd/>
              <w:snapToGrid/>
              <w:spacing w:line="380" w:lineRule="exact"/>
              <w:jc w:val="center"/>
              <w:textAlignment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kern w:val="0"/>
                <w:sz w:val="18"/>
                <w:szCs w:val="18"/>
                <w:highlight w:val="none"/>
                <w:u w:val="none"/>
                <w:lang w:val="en-US" w:eastAsia="zh-CN" w:bidi="ar"/>
              </w:rPr>
              <w:t>满意度指标</w:t>
            </w:r>
          </w:p>
        </w:tc>
        <w:tc>
          <w:tcPr>
            <w:tcW w:w="13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1D1188">
            <w:pPr>
              <w:keepNext w:val="0"/>
              <w:keepLines w:val="0"/>
              <w:pageBreakBefore w:val="0"/>
              <w:widowControl/>
              <w:suppressLineNumbers w:val="0"/>
              <w:kinsoku/>
              <w:wordWrap/>
              <w:overflowPunct/>
              <w:topLinePunct w:val="0"/>
              <w:autoSpaceDE/>
              <w:autoSpaceDN/>
              <w:bidi w:val="0"/>
              <w:adjustRightInd/>
              <w:snapToGrid/>
              <w:spacing w:line="380" w:lineRule="exact"/>
              <w:jc w:val="center"/>
              <w:textAlignment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kern w:val="0"/>
                <w:sz w:val="18"/>
                <w:szCs w:val="18"/>
                <w:highlight w:val="none"/>
                <w:u w:val="none"/>
                <w:lang w:val="en-US" w:eastAsia="zh-CN" w:bidi="ar"/>
              </w:rPr>
              <w:t>满意度指标</w:t>
            </w:r>
          </w:p>
        </w:tc>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7C55B6">
            <w:pPr>
              <w:keepNext w:val="0"/>
              <w:keepLines w:val="0"/>
              <w:pageBreakBefore w:val="0"/>
              <w:kinsoku/>
              <w:wordWrap/>
              <w:overflowPunct/>
              <w:topLinePunct w:val="0"/>
              <w:autoSpaceDE/>
              <w:autoSpaceDN/>
              <w:bidi w:val="0"/>
              <w:adjustRightInd/>
              <w:snapToGrid/>
              <w:spacing w:line="380" w:lineRule="exact"/>
              <w:jc w:val="center"/>
              <w:rPr>
                <w:rFonts w:hint="eastAsia" w:ascii="仿宋_GB2312" w:hAnsi="仿宋_GB2312" w:eastAsia="仿宋_GB2312" w:cs="仿宋_GB2312"/>
                <w:i w:val="0"/>
                <w:iCs w:val="0"/>
                <w:color w:val="000000"/>
                <w:sz w:val="18"/>
                <w:szCs w:val="18"/>
                <w:highlight w:val="none"/>
                <w:u w:val="none"/>
                <w:lang w:val="en-US" w:eastAsia="zh-CN"/>
              </w:rPr>
            </w:pPr>
            <w:r>
              <w:rPr>
                <w:rFonts w:hint="eastAsia" w:ascii="仿宋_GB2312" w:hAnsi="仿宋_GB2312" w:eastAsia="仿宋_GB2312" w:cs="仿宋_GB2312"/>
                <w:i w:val="0"/>
                <w:iCs w:val="0"/>
                <w:color w:val="000000"/>
                <w:sz w:val="18"/>
                <w:szCs w:val="18"/>
                <w:highlight w:val="none"/>
                <w:u w:val="none"/>
                <w:lang w:val="en-US" w:eastAsia="zh-CN"/>
              </w:rPr>
              <w:t>退耕户满意度（%）</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591770">
            <w:pPr>
              <w:keepNext w:val="0"/>
              <w:keepLines w:val="0"/>
              <w:pageBreakBefore w:val="0"/>
              <w:kinsoku/>
              <w:wordWrap/>
              <w:overflowPunct/>
              <w:topLinePunct w:val="0"/>
              <w:autoSpaceDE/>
              <w:autoSpaceDN/>
              <w:bidi w:val="0"/>
              <w:adjustRightInd/>
              <w:snapToGrid/>
              <w:spacing w:line="380" w:lineRule="exact"/>
              <w:jc w:val="center"/>
              <w:rPr>
                <w:rFonts w:hint="eastAsia" w:ascii="仿宋_GB2312" w:hAnsi="仿宋_GB2312" w:eastAsia="仿宋_GB2312" w:cs="仿宋_GB2312"/>
                <w:i w:val="0"/>
                <w:iCs w:val="0"/>
                <w:color w:val="000000"/>
                <w:sz w:val="18"/>
                <w:szCs w:val="18"/>
                <w:highlight w:val="none"/>
                <w:u w:val="none"/>
                <w:lang w:val="en-US" w:eastAsia="zh-CN"/>
              </w:rPr>
            </w:pPr>
            <w:r>
              <w:rPr>
                <w:rFonts w:hint="eastAsia" w:ascii="仿宋_GB2312" w:hAnsi="仿宋_GB2312" w:eastAsia="仿宋_GB2312" w:cs="仿宋_GB2312"/>
                <w:i w:val="0"/>
                <w:iCs w:val="0"/>
                <w:color w:val="000000"/>
                <w:sz w:val="18"/>
                <w:szCs w:val="18"/>
                <w:highlight w:val="none"/>
                <w:u w:val="none"/>
                <w:lang w:val="en-US" w:eastAsia="zh-CN"/>
              </w:rPr>
              <w:t>&gt;=85%</w:t>
            </w:r>
          </w:p>
        </w:tc>
        <w:tc>
          <w:tcPr>
            <w:tcW w:w="11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E3D988">
            <w:pPr>
              <w:keepNext w:val="0"/>
              <w:keepLines w:val="0"/>
              <w:pageBreakBefore w:val="0"/>
              <w:kinsoku/>
              <w:wordWrap/>
              <w:overflowPunct/>
              <w:topLinePunct w:val="0"/>
              <w:autoSpaceDE/>
              <w:autoSpaceDN/>
              <w:bidi w:val="0"/>
              <w:adjustRightInd/>
              <w:snapToGrid/>
              <w:spacing w:line="380" w:lineRule="exact"/>
              <w:jc w:val="center"/>
              <w:rPr>
                <w:rFonts w:hint="eastAsia" w:ascii="仿宋_GB2312" w:hAnsi="仿宋_GB2312" w:eastAsia="仿宋_GB2312" w:cs="仿宋_GB2312"/>
                <w:i w:val="0"/>
                <w:iCs w:val="0"/>
                <w:color w:val="000000"/>
                <w:sz w:val="18"/>
                <w:szCs w:val="18"/>
                <w:highlight w:val="none"/>
                <w:u w:val="none"/>
                <w:lang w:val="en-US" w:eastAsia="zh-CN"/>
              </w:rPr>
            </w:pPr>
            <w:r>
              <w:rPr>
                <w:rFonts w:hint="eastAsia" w:ascii="仿宋_GB2312" w:hAnsi="仿宋_GB2312" w:eastAsia="仿宋_GB2312" w:cs="仿宋_GB2312"/>
                <w:i w:val="0"/>
                <w:iCs w:val="0"/>
                <w:color w:val="000000"/>
                <w:sz w:val="18"/>
                <w:szCs w:val="18"/>
                <w:highlight w:val="none"/>
                <w:u w:val="none"/>
                <w:lang w:val="en-US" w:eastAsia="zh-CN"/>
              </w:rPr>
              <w:t>计划标准</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6BEBFC">
            <w:pPr>
              <w:keepNext w:val="0"/>
              <w:keepLines w:val="0"/>
              <w:pageBreakBefore w:val="0"/>
              <w:kinsoku/>
              <w:wordWrap/>
              <w:overflowPunct/>
              <w:topLinePunct w:val="0"/>
              <w:autoSpaceDE/>
              <w:autoSpaceDN/>
              <w:bidi w:val="0"/>
              <w:adjustRightInd/>
              <w:snapToGrid/>
              <w:spacing w:line="380" w:lineRule="exact"/>
              <w:jc w:val="center"/>
              <w:rPr>
                <w:rFonts w:hint="eastAsia" w:ascii="仿宋_GB2312" w:hAnsi="仿宋_GB2312" w:eastAsia="仿宋_GB2312" w:cs="仿宋_GB2312"/>
                <w:i w:val="0"/>
                <w:iCs w:val="0"/>
                <w:color w:val="000000"/>
                <w:sz w:val="18"/>
                <w:szCs w:val="18"/>
                <w:highlight w:val="none"/>
                <w:u w:val="none"/>
                <w:lang w:val="en-US" w:eastAsia="zh-CN"/>
              </w:rPr>
            </w:pPr>
          </w:p>
        </w:tc>
        <w:tc>
          <w:tcPr>
            <w:tcW w:w="8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F17315">
            <w:pPr>
              <w:keepNext w:val="0"/>
              <w:keepLines w:val="0"/>
              <w:pageBreakBefore w:val="0"/>
              <w:kinsoku/>
              <w:wordWrap/>
              <w:overflowPunct/>
              <w:topLinePunct w:val="0"/>
              <w:autoSpaceDE/>
              <w:autoSpaceDN/>
              <w:bidi w:val="0"/>
              <w:adjustRightInd/>
              <w:snapToGrid/>
              <w:spacing w:line="380" w:lineRule="exact"/>
              <w:jc w:val="center"/>
              <w:rPr>
                <w:rFonts w:hint="default" w:ascii="仿宋_GB2312" w:hAnsi="仿宋_GB2312" w:eastAsia="仿宋_GB2312" w:cs="仿宋_GB2312"/>
                <w:i w:val="0"/>
                <w:iCs w:val="0"/>
                <w:color w:val="000000"/>
                <w:sz w:val="18"/>
                <w:szCs w:val="18"/>
                <w:highlight w:val="none"/>
                <w:u w:val="none"/>
                <w:lang w:val="en-US" w:eastAsia="zh-CN"/>
              </w:rPr>
            </w:pPr>
            <w:r>
              <w:rPr>
                <w:rFonts w:hint="eastAsia" w:ascii="仿宋_GB2312" w:hAnsi="仿宋_GB2312" w:eastAsia="仿宋_GB2312" w:cs="仿宋_GB2312"/>
                <w:i w:val="0"/>
                <w:iCs w:val="0"/>
                <w:color w:val="000000"/>
                <w:sz w:val="18"/>
                <w:szCs w:val="18"/>
                <w:highlight w:val="none"/>
                <w:u w:val="none"/>
                <w:lang w:val="en-US" w:eastAsia="zh-CN"/>
              </w:rPr>
              <w:t>10</w:t>
            </w:r>
          </w:p>
        </w:tc>
        <w:tc>
          <w:tcPr>
            <w:tcW w:w="8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469F90">
            <w:pPr>
              <w:keepNext w:val="0"/>
              <w:keepLines w:val="0"/>
              <w:pageBreakBefore w:val="0"/>
              <w:kinsoku/>
              <w:wordWrap/>
              <w:overflowPunct/>
              <w:topLinePunct w:val="0"/>
              <w:autoSpaceDE/>
              <w:autoSpaceDN/>
              <w:bidi w:val="0"/>
              <w:adjustRightInd/>
              <w:snapToGrid/>
              <w:spacing w:line="380" w:lineRule="exact"/>
              <w:jc w:val="center"/>
              <w:rPr>
                <w:rFonts w:hint="default" w:ascii="仿宋_GB2312" w:hAnsi="仿宋_GB2312" w:eastAsia="仿宋_GB2312" w:cs="仿宋_GB2312"/>
                <w:i w:val="0"/>
                <w:iCs w:val="0"/>
                <w:color w:val="000000"/>
                <w:sz w:val="18"/>
                <w:szCs w:val="18"/>
                <w:highlight w:val="none"/>
                <w:u w:val="none"/>
                <w:lang w:val="en-US" w:eastAsia="zh-CN"/>
              </w:rPr>
            </w:pPr>
            <w:r>
              <w:rPr>
                <w:rFonts w:hint="eastAsia" w:ascii="仿宋_GB2312" w:hAnsi="仿宋_GB2312" w:eastAsia="仿宋_GB2312" w:cs="仿宋_GB2312"/>
                <w:i w:val="0"/>
                <w:iCs w:val="0"/>
                <w:color w:val="000000"/>
                <w:sz w:val="18"/>
                <w:szCs w:val="18"/>
                <w:highlight w:val="none"/>
                <w:u w:val="none"/>
                <w:lang w:val="en-US" w:eastAsia="zh-CN"/>
              </w:rPr>
              <w:t>满意度赋分</w:t>
            </w:r>
          </w:p>
        </w:tc>
        <w:tc>
          <w:tcPr>
            <w:tcW w:w="7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3F6C6D">
            <w:pPr>
              <w:keepNext w:val="0"/>
              <w:keepLines w:val="0"/>
              <w:pageBreakBefore w:val="0"/>
              <w:kinsoku/>
              <w:wordWrap/>
              <w:overflowPunct/>
              <w:topLinePunct w:val="0"/>
              <w:autoSpaceDE/>
              <w:autoSpaceDN/>
              <w:bidi w:val="0"/>
              <w:adjustRightInd/>
              <w:snapToGrid/>
              <w:spacing w:line="380" w:lineRule="exact"/>
              <w:jc w:val="center"/>
              <w:rPr>
                <w:rFonts w:hint="eastAsia" w:ascii="仿宋_GB2312" w:hAnsi="仿宋_GB2312" w:eastAsia="仿宋_GB2312" w:cs="仿宋_GB2312"/>
                <w:i w:val="0"/>
                <w:iCs w:val="0"/>
                <w:color w:val="000000"/>
                <w:sz w:val="18"/>
                <w:szCs w:val="18"/>
                <w:highlight w:val="none"/>
                <w:u w:val="none"/>
                <w:lang w:val="en-US" w:eastAsia="zh-CN"/>
              </w:rPr>
            </w:pPr>
            <w:r>
              <w:rPr>
                <w:rFonts w:hint="eastAsia" w:ascii="仿宋_GB2312" w:hAnsi="仿宋_GB2312" w:eastAsia="仿宋_GB2312" w:cs="仿宋_GB2312"/>
                <w:i w:val="0"/>
                <w:iCs w:val="0"/>
                <w:color w:val="000000"/>
                <w:sz w:val="18"/>
                <w:szCs w:val="18"/>
                <w:highlight w:val="none"/>
                <w:u w:val="none"/>
                <w:lang w:val="en-US" w:eastAsia="zh-CN"/>
              </w:rPr>
              <w:t>说明材料</w:t>
            </w:r>
          </w:p>
        </w:tc>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4D8B5B">
            <w:pPr>
              <w:keepNext w:val="0"/>
              <w:keepLines w:val="0"/>
              <w:pageBreakBefore w:val="0"/>
              <w:kinsoku/>
              <w:wordWrap/>
              <w:overflowPunct/>
              <w:topLinePunct w:val="0"/>
              <w:autoSpaceDE/>
              <w:autoSpaceDN/>
              <w:bidi w:val="0"/>
              <w:adjustRightInd/>
              <w:snapToGrid/>
              <w:spacing w:line="380" w:lineRule="exact"/>
              <w:jc w:val="center"/>
              <w:rPr>
                <w:rFonts w:hint="eastAsia" w:ascii="仿宋_GB2312" w:hAnsi="仿宋_GB2312" w:eastAsia="仿宋_GB2312" w:cs="仿宋_GB2312"/>
                <w:i w:val="0"/>
                <w:iCs w:val="0"/>
                <w:color w:val="000000"/>
                <w:sz w:val="18"/>
                <w:szCs w:val="18"/>
                <w:highlight w:val="none"/>
                <w:u w:val="none"/>
                <w:lang w:val="en-US" w:eastAsia="zh-CN"/>
              </w:rPr>
            </w:pPr>
            <w:r>
              <w:rPr>
                <w:rFonts w:hint="eastAsia" w:ascii="仿宋_GB2312" w:hAnsi="仿宋_GB2312" w:eastAsia="仿宋_GB2312" w:cs="仿宋_GB2312"/>
                <w:i w:val="0"/>
                <w:iCs w:val="0"/>
                <w:color w:val="000000"/>
                <w:sz w:val="18"/>
                <w:szCs w:val="18"/>
                <w:highlight w:val="none"/>
                <w:u w:val="none"/>
                <w:lang w:val="en-US" w:eastAsia="zh-CN"/>
              </w:rPr>
              <w:t>=85%</w:t>
            </w:r>
          </w:p>
        </w:tc>
        <w:tc>
          <w:tcPr>
            <w:tcW w:w="8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2EE5B2">
            <w:pPr>
              <w:keepNext w:val="0"/>
              <w:keepLines w:val="0"/>
              <w:pageBreakBefore w:val="0"/>
              <w:kinsoku/>
              <w:wordWrap/>
              <w:overflowPunct/>
              <w:topLinePunct w:val="0"/>
              <w:autoSpaceDE/>
              <w:autoSpaceDN/>
              <w:bidi w:val="0"/>
              <w:adjustRightInd/>
              <w:snapToGrid/>
              <w:spacing w:line="380" w:lineRule="exact"/>
              <w:jc w:val="center"/>
              <w:rPr>
                <w:rFonts w:hint="eastAsia" w:ascii="仿宋_GB2312" w:hAnsi="仿宋_GB2312" w:eastAsia="仿宋_GB2312" w:cs="仿宋_GB2312"/>
                <w:i w:val="0"/>
                <w:iCs w:val="0"/>
                <w:color w:val="000000"/>
                <w:sz w:val="18"/>
                <w:szCs w:val="18"/>
                <w:highlight w:val="none"/>
                <w:u w:val="none"/>
                <w:lang w:val="en-US" w:eastAsia="zh-CN"/>
              </w:rPr>
            </w:pPr>
            <w:r>
              <w:rPr>
                <w:rFonts w:hint="eastAsia" w:ascii="仿宋_GB2312" w:hAnsi="仿宋_GB2312" w:eastAsia="仿宋_GB2312" w:cs="仿宋_GB2312"/>
                <w:i w:val="0"/>
                <w:iCs w:val="0"/>
                <w:color w:val="000000"/>
                <w:sz w:val="18"/>
                <w:szCs w:val="18"/>
                <w:highlight w:val="none"/>
                <w:u w:val="none"/>
                <w:lang w:val="en-US" w:eastAsia="zh-CN"/>
              </w:rPr>
              <w:t>100%</w:t>
            </w:r>
          </w:p>
        </w:tc>
        <w:tc>
          <w:tcPr>
            <w:tcW w:w="7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54E84B">
            <w:pPr>
              <w:keepNext w:val="0"/>
              <w:keepLines w:val="0"/>
              <w:pageBreakBefore w:val="0"/>
              <w:kinsoku/>
              <w:wordWrap/>
              <w:overflowPunct/>
              <w:topLinePunct w:val="0"/>
              <w:autoSpaceDE/>
              <w:autoSpaceDN/>
              <w:bidi w:val="0"/>
              <w:adjustRightInd/>
              <w:snapToGrid/>
              <w:spacing w:line="380" w:lineRule="exact"/>
              <w:jc w:val="center"/>
              <w:rPr>
                <w:rFonts w:hint="default" w:ascii="仿宋_GB2312" w:hAnsi="仿宋_GB2312" w:eastAsia="仿宋_GB2312" w:cs="仿宋_GB2312"/>
                <w:i w:val="0"/>
                <w:iCs w:val="0"/>
                <w:color w:val="000000"/>
                <w:sz w:val="18"/>
                <w:szCs w:val="18"/>
                <w:highlight w:val="none"/>
                <w:u w:val="none"/>
                <w:lang w:val="en-US" w:eastAsia="zh-CN"/>
              </w:rPr>
            </w:pPr>
            <w:r>
              <w:rPr>
                <w:rFonts w:hint="eastAsia" w:ascii="仿宋_GB2312" w:hAnsi="仿宋_GB2312" w:eastAsia="仿宋_GB2312" w:cs="仿宋_GB2312"/>
                <w:i w:val="0"/>
                <w:iCs w:val="0"/>
                <w:color w:val="000000"/>
                <w:sz w:val="18"/>
                <w:szCs w:val="18"/>
                <w:highlight w:val="none"/>
                <w:u w:val="none"/>
                <w:lang w:val="en-US" w:eastAsia="zh-CN"/>
              </w:rPr>
              <w:t>10</w:t>
            </w:r>
          </w:p>
        </w:tc>
        <w:tc>
          <w:tcPr>
            <w:tcW w:w="12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681A9C">
            <w:pPr>
              <w:keepNext w:val="0"/>
              <w:keepLines w:val="0"/>
              <w:pageBreakBefore w:val="0"/>
              <w:kinsoku/>
              <w:wordWrap/>
              <w:overflowPunct/>
              <w:topLinePunct w:val="0"/>
              <w:autoSpaceDE/>
              <w:autoSpaceDN/>
              <w:bidi w:val="0"/>
              <w:adjustRightInd/>
              <w:snapToGrid/>
              <w:spacing w:line="380" w:lineRule="exact"/>
              <w:jc w:val="center"/>
              <w:rPr>
                <w:rFonts w:hint="eastAsia" w:ascii="仿宋_GB2312" w:hAnsi="仿宋_GB2312" w:eastAsia="仿宋_GB2312" w:cs="仿宋_GB2312"/>
                <w:i w:val="0"/>
                <w:iCs w:val="0"/>
                <w:color w:val="000000"/>
                <w:sz w:val="18"/>
                <w:szCs w:val="18"/>
                <w:highlight w:val="none"/>
                <w:u w:val="none"/>
              </w:rPr>
            </w:pPr>
          </w:p>
        </w:tc>
      </w:tr>
      <w:tr w14:paraId="1DA80C8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4553" w:type="dxa"/>
            <w:gridSpan w:val="4"/>
            <w:tcBorders>
              <w:top w:val="single" w:color="000000" w:sz="4" w:space="0"/>
              <w:left w:val="single" w:color="000000" w:sz="4" w:space="0"/>
              <w:bottom w:val="single" w:color="000000" w:sz="4" w:space="0"/>
              <w:right w:val="nil"/>
            </w:tcBorders>
            <w:shd w:val="clear" w:color="auto" w:fill="auto"/>
            <w:vAlign w:val="center"/>
          </w:tcPr>
          <w:p w14:paraId="14005D39">
            <w:pPr>
              <w:keepNext w:val="0"/>
              <w:keepLines w:val="0"/>
              <w:pageBreakBefore w:val="0"/>
              <w:widowControl/>
              <w:suppressLineNumbers w:val="0"/>
              <w:kinsoku/>
              <w:wordWrap/>
              <w:overflowPunct/>
              <w:topLinePunct w:val="0"/>
              <w:autoSpaceDE/>
              <w:autoSpaceDN/>
              <w:bidi w:val="0"/>
              <w:adjustRightInd/>
              <w:snapToGrid/>
              <w:spacing w:line="380" w:lineRule="exact"/>
              <w:jc w:val="center"/>
              <w:textAlignment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kern w:val="0"/>
                <w:sz w:val="18"/>
                <w:szCs w:val="18"/>
                <w:highlight w:val="none"/>
                <w:u w:val="none"/>
                <w:lang w:val="en-US" w:eastAsia="zh-CN" w:bidi="ar"/>
              </w:rPr>
              <w:t>总分</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24CB7A">
            <w:pPr>
              <w:keepNext w:val="0"/>
              <w:keepLines w:val="0"/>
              <w:pageBreakBefore w:val="0"/>
              <w:kinsoku/>
              <w:wordWrap/>
              <w:overflowPunct/>
              <w:topLinePunct w:val="0"/>
              <w:autoSpaceDE/>
              <w:autoSpaceDN/>
              <w:bidi w:val="0"/>
              <w:adjustRightInd/>
              <w:snapToGrid/>
              <w:spacing w:line="380" w:lineRule="exact"/>
              <w:jc w:val="center"/>
              <w:rPr>
                <w:rFonts w:hint="eastAsia" w:ascii="仿宋_GB2312" w:hAnsi="仿宋_GB2312" w:eastAsia="仿宋_GB2312" w:cs="仿宋_GB2312"/>
                <w:i w:val="0"/>
                <w:iCs w:val="0"/>
                <w:color w:val="000000"/>
                <w:sz w:val="18"/>
                <w:szCs w:val="18"/>
                <w:highlight w:val="none"/>
                <w:u w:val="none"/>
              </w:rPr>
            </w:pPr>
          </w:p>
        </w:tc>
        <w:tc>
          <w:tcPr>
            <w:tcW w:w="1164" w:type="dxa"/>
            <w:tcBorders>
              <w:top w:val="single" w:color="000000" w:sz="4" w:space="0"/>
              <w:left w:val="nil"/>
              <w:bottom w:val="single" w:color="000000" w:sz="4" w:space="0"/>
              <w:right w:val="single" w:color="000000" w:sz="4" w:space="0"/>
            </w:tcBorders>
            <w:shd w:val="clear" w:color="auto" w:fill="auto"/>
            <w:vAlign w:val="center"/>
          </w:tcPr>
          <w:p w14:paraId="4256AE6B">
            <w:pPr>
              <w:keepNext w:val="0"/>
              <w:keepLines w:val="0"/>
              <w:pageBreakBefore w:val="0"/>
              <w:kinsoku/>
              <w:wordWrap/>
              <w:overflowPunct/>
              <w:topLinePunct w:val="0"/>
              <w:autoSpaceDE/>
              <w:autoSpaceDN/>
              <w:bidi w:val="0"/>
              <w:adjustRightInd/>
              <w:snapToGrid/>
              <w:spacing w:line="380" w:lineRule="exact"/>
              <w:rPr>
                <w:rFonts w:hint="eastAsia" w:ascii="仿宋_GB2312" w:hAnsi="仿宋_GB2312" w:eastAsia="仿宋_GB2312" w:cs="仿宋_GB2312"/>
                <w:b/>
                <w:bCs/>
                <w:i w:val="0"/>
                <w:iCs w:val="0"/>
                <w:color w:val="000000"/>
                <w:sz w:val="18"/>
                <w:szCs w:val="18"/>
                <w:highlight w:val="none"/>
                <w:u w:val="none"/>
              </w:rPr>
            </w:pP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3E81FB">
            <w:pPr>
              <w:keepNext w:val="0"/>
              <w:keepLines w:val="0"/>
              <w:pageBreakBefore w:val="0"/>
              <w:kinsoku/>
              <w:wordWrap/>
              <w:overflowPunct/>
              <w:topLinePunct w:val="0"/>
              <w:autoSpaceDE/>
              <w:autoSpaceDN/>
              <w:bidi w:val="0"/>
              <w:adjustRightInd/>
              <w:snapToGrid/>
              <w:spacing w:line="380" w:lineRule="exact"/>
              <w:jc w:val="center"/>
              <w:rPr>
                <w:rFonts w:hint="eastAsia" w:ascii="仿宋_GB2312" w:hAnsi="仿宋_GB2312" w:eastAsia="仿宋_GB2312" w:cs="仿宋_GB2312"/>
                <w:i w:val="0"/>
                <w:iCs w:val="0"/>
                <w:color w:val="000000"/>
                <w:sz w:val="18"/>
                <w:szCs w:val="18"/>
                <w:highlight w:val="none"/>
                <w:u w:val="none"/>
              </w:rPr>
            </w:pPr>
          </w:p>
        </w:tc>
        <w:tc>
          <w:tcPr>
            <w:tcW w:w="8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E5E602">
            <w:pPr>
              <w:keepNext w:val="0"/>
              <w:keepLines w:val="0"/>
              <w:pageBreakBefore w:val="0"/>
              <w:kinsoku/>
              <w:wordWrap/>
              <w:overflowPunct/>
              <w:topLinePunct w:val="0"/>
              <w:autoSpaceDE/>
              <w:autoSpaceDN/>
              <w:bidi w:val="0"/>
              <w:adjustRightInd/>
              <w:snapToGrid/>
              <w:spacing w:line="380" w:lineRule="exact"/>
              <w:jc w:val="center"/>
              <w:rPr>
                <w:rFonts w:hint="default" w:ascii="仿宋_GB2312" w:hAnsi="仿宋_GB2312" w:eastAsia="仿宋_GB2312" w:cs="仿宋_GB2312"/>
                <w:i w:val="0"/>
                <w:iCs w:val="0"/>
                <w:color w:val="000000"/>
                <w:sz w:val="18"/>
                <w:szCs w:val="18"/>
                <w:highlight w:val="none"/>
                <w:u w:val="none"/>
                <w:lang w:val="en-US" w:eastAsia="zh-CN"/>
              </w:rPr>
            </w:pPr>
            <w:r>
              <w:rPr>
                <w:rFonts w:hint="eastAsia" w:ascii="仿宋_GB2312" w:hAnsi="仿宋_GB2312" w:eastAsia="仿宋_GB2312" w:cs="仿宋_GB2312"/>
                <w:i w:val="0"/>
                <w:iCs w:val="0"/>
                <w:color w:val="000000"/>
                <w:sz w:val="18"/>
                <w:szCs w:val="18"/>
                <w:highlight w:val="none"/>
                <w:u w:val="none"/>
                <w:lang w:val="en-US" w:eastAsia="zh-CN"/>
              </w:rPr>
              <w:t>90</w:t>
            </w:r>
          </w:p>
        </w:tc>
        <w:tc>
          <w:tcPr>
            <w:tcW w:w="8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13122F">
            <w:pPr>
              <w:keepNext w:val="0"/>
              <w:keepLines w:val="0"/>
              <w:pageBreakBefore w:val="0"/>
              <w:kinsoku/>
              <w:wordWrap/>
              <w:overflowPunct/>
              <w:topLinePunct w:val="0"/>
              <w:autoSpaceDE/>
              <w:autoSpaceDN/>
              <w:bidi w:val="0"/>
              <w:adjustRightInd/>
              <w:snapToGrid/>
              <w:spacing w:line="380" w:lineRule="exact"/>
              <w:jc w:val="center"/>
              <w:rPr>
                <w:rFonts w:hint="eastAsia" w:ascii="仿宋_GB2312" w:hAnsi="仿宋_GB2312" w:eastAsia="仿宋_GB2312" w:cs="仿宋_GB2312"/>
                <w:i w:val="0"/>
                <w:iCs w:val="0"/>
                <w:color w:val="000000"/>
                <w:sz w:val="18"/>
                <w:szCs w:val="18"/>
                <w:highlight w:val="none"/>
                <w:u w:val="none"/>
              </w:rPr>
            </w:pPr>
          </w:p>
        </w:tc>
        <w:tc>
          <w:tcPr>
            <w:tcW w:w="7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44E806">
            <w:pPr>
              <w:keepNext w:val="0"/>
              <w:keepLines w:val="0"/>
              <w:pageBreakBefore w:val="0"/>
              <w:kinsoku/>
              <w:wordWrap/>
              <w:overflowPunct/>
              <w:topLinePunct w:val="0"/>
              <w:autoSpaceDE/>
              <w:autoSpaceDN/>
              <w:bidi w:val="0"/>
              <w:adjustRightInd/>
              <w:snapToGrid/>
              <w:spacing w:line="380" w:lineRule="exact"/>
              <w:rPr>
                <w:rFonts w:hint="eastAsia" w:ascii="仿宋_GB2312" w:hAnsi="仿宋_GB2312" w:eastAsia="仿宋_GB2312" w:cs="仿宋_GB2312"/>
                <w:i w:val="0"/>
                <w:iCs w:val="0"/>
                <w:color w:val="000000"/>
                <w:sz w:val="18"/>
                <w:szCs w:val="18"/>
                <w:highlight w:val="none"/>
                <w:u w:val="none"/>
              </w:rPr>
            </w:pPr>
          </w:p>
        </w:tc>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CA2E80">
            <w:pPr>
              <w:keepNext w:val="0"/>
              <w:keepLines w:val="0"/>
              <w:pageBreakBefore w:val="0"/>
              <w:kinsoku/>
              <w:wordWrap/>
              <w:overflowPunct/>
              <w:topLinePunct w:val="0"/>
              <w:autoSpaceDE/>
              <w:autoSpaceDN/>
              <w:bidi w:val="0"/>
              <w:adjustRightInd/>
              <w:snapToGrid/>
              <w:spacing w:line="380" w:lineRule="exact"/>
              <w:rPr>
                <w:rFonts w:hint="eastAsia" w:ascii="仿宋_GB2312" w:hAnsi="仿宋_GB2312" w:eastAsia="仿宋_GB2312" w:cs="仿宋_GB2312"/>
                <w:i w:val="0"/>
                <w:iCs w:val="0"/>
                <w:color w:val="000000"/>
                <w:sz w:val="18"/>
                <w:szCs w:val="18"/>
                <w:highlight w:val="none"/>
                <w:u w:val="none"/>
              </w:rPr>
            </w:pPr>
          </w:p>
        </w:tc>
        <w:tc>
          <w:tcPr>
            <w:tcW w:w="8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1F2A65">
            <w:pPr>
              <w:keepNext w:val="0"/>
              <w:keepLines w:val="0"/>
              <w:pageBreakBefore w:val="0"/>
              <w:kinsoku/>
              <w:wordWrap/>
              <w:overflowPunct/>
              <w:topLinePunct w:val="0"/>
              <w:autoSpaceDE/>
              <w:autoSpaceDN/>
              <w:bidi w:val="0"/>
              <w:adjustRightInd/>
              <w:snapToGrid/>
              <w:spacing w:line="380" w:lineRule="exact"/>
              <w:rPr>
                <w:rFonts w:hint="eastAsia" w:ascii="仿宋_GB2312" w:hAnsi="仿宋_GB2312" w:eastAsia="仿宋_GB2312" w:cs="仿宋_GB2312"/>
                <w:i w:val="0"/>
                <w:iCs w:val="0"/>
                <w:color w:val="000000"/>
                <w:sz w:val="18"/>
                <w:szCs w:val="18"/>
                <w:highlight w:val="none"/>
                <w:u w:val="none"/>
              </w:rPr>
            </w:pPr>
          </w:p>
        </w:tc>
        <w:tc>
          <w:tcPr>
            <w:tcW w:w="7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F31F6F">
            <w:pPr>
              <w:keepNext w:val="0"/>
              <w:keepLines w:val="0"/>
              <w:pageBreakBefore w:val="0"/>
              <w:kinsoku/>
              <w:wordWrap/>
              <w:overflowPunct/>
              <w:topLinePunct w:val="0"/>
              <w:autoSpaceDE/>
              <w:autoSpaceDN/>
              <w:bidi w:val="0"/>
              <w:adjustRightInd/>
              <w:snapToGrid/>
              <w:spacing w:line="380" w:lineRule="exact"/>
              <w:jc w:val="center"/>
              <w:rPr>
                <w:rFonts w:hint="default" w:ascii="仿宋_GB2312" w:hAnsi="仿宋_GB2312" w:eastAsia="仿宋_GB2312" w:cs="仿宋_GB2312"/>
                <w:i w:val="0"/>
                <w:iCs w:val="0"/>
                <w:color w:val="000000"/>
                <w:sz w:val="18"/>
                <w:szCs w:val="18"/>
                <w:highlight w:val="none"/>
                <w:u w:val="none"/>
                <w:lang w:val="en-US" w:eastAsia="zh-CN"/>
              </w:rPr>
            </w:pPr>
            <w:r>
              <w:rPr>
                <w:rFonts w:hint="eastAsia" w:ascii="Times New Roman" w:hAnsi="Times New Roman" w:eastAsia="仿宋_GB2312" w:cs="Times New Roman"/>
                <w:b w:val="0"/>
                <w:bCs w:val="0"/>
                <w:color w:val="000000"/>
                <w:spacing w:val="17"/>
                <w:kern w:val="2"/>
                <w:highlight w:val="none"/>
                <w:lang w:val="en-US" w:eastAsia="zh-CN"/>
              </w:rPr>
              <w:t>97.6</w:t>
            </w:r>
          </w:p>
        </w:tc>
        <w:tc>
          <w:tcPr>
            <w:tcW w:w="12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AEEB3D">
            <w:pPr>
              <w:keepNext w:val="0"/>
              <w:keepLines w:val="0"/>
              <w:pageBreakBefore w:val="0"/>
              <w:kinsoku/>
              <w:wordWrap/>
              <w:overflowPunct/>
              <w:topLinePunct w:val="0"/>
              <w:autoSpaceDE/>
              <w:autoSpaceDN/>
              <w:bidi w:val="0"/>
              <w:adjustRightInd/>
              <w:snapToGrid/>
              <w:spacing w:line="380" w:lineRule="exact"/>
              <w:rPr>
                <w:rFonts w:hint="eastAsia" w:ascii="仿宋_GB2312" w:hAnsi="仿宋_GB2312" w:eastAsia="仿宋_GB2312" w:cs="仿宋_GB2312"/>
                <w:i w:val="0"/>
                <w:iCs w:val="0"/>
                <w:color w:val="000000"/>
                <w:sz w:val="18"/>
                <w:szCs w:val="18"/>
                <w:highlight w:val="none"/>
                <w:u w:val="none"/>
              </w:rPr>
            </w:pPr>
          </w:p>
        </w:tc>
      </w:tr>
    </w:tbl>
    <w:p w14:paraId="26E0CD98">
      <w:pPr>
        <w:keepNext w:val="0"/>
        <w:keepLines w:val="0"/>
        <w:pageBreakBefore w:val="0"/>
        <w:kinsoku/>
        <w:wordWrap/>
        <w:overflowPunct/>
        <w:topLinePunct w:val="0"/>
        <w:autoSpaceDE/>
        <w:autoSpaceDN/>
        <w:bidi w:val="0"/>
        <w:adjustRightInd/>
        <w:snapToGrid/>
        <w:spacing w:line="500" w:lineRule="exact"/>
        <w:rPr>
          <w:rFonts w:hint="default" w:ascii="Times New Roman" w:hAnsi="Times New Roman" w:cs="Times New Roman"/>
          <w:highlight w:val="none"/>
        </w:rPr>
      </w:pPr>
    </w:p>
    <w:sectPr>
      <w:pgSz w:w="16838" w:h="11906" w:orient="landscape"/>
      <w:pgMar w:top="1180" w:right="1440" w:bottom="1558"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libri Light">
    <w:panose1 w:val="020F0302020204030204"/>
    <w:charset w:val="00"/>
    <w:family w:val="swiss"/>
    <w:pitch w:val="default"/>
    <w:sig w:usb0="A00002EF" w:usb1="4000207B" w:usb2="00000000" w:usb3="00000000" w:csb0="2000019F" w:csb1="00000000"/>
  </w:font>
  <w:font w:name="仿宋_GB2312">
    <w:panose1 w:val="02010609030101010101"/>
    <w:charset w:val="86"/>
    <w:family w:val="modern"/>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方正小标宋_GBK">
    <w:panose1 w:val="02000000000000000000"/>
    <w:charset w:val="86"/>
    <w:family w:val="script"/>
    <w:pitch w:val="default"/>
    <w:sig w:usb0="A00002BF" w:usb1="38CF7CFA" w:usb2="00082016" w:usb3="00000000" w:csb0="00040001" w:csb1="00000000"/>
  </w:font>
  <w:font w:name="楷体">
    <w:panose1 w:val="02010609060101010101"/>
    <w:charset w:val="86"/>
    <w:family w:val="modern"/>
    <w:pitch w:val="default"/>
    <w:sig w:usb0="800002BF" w:usb1="38CF7CFA" w:usb2="00000016" w:usb3="00000000" w:csb0="00040001" w:csb1="00000000"/>
  </w:font>
  <w:font w:name="楷体_GB2312">
    <w:panose1 w:val="02010609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47466018"/>
    </w:sdtPr>
    <w:sdtContent>
      <w:p w14:paraId="4736F06D">
        <w:pPr>
          <w:pStyle w:val="7"/>
          <w:jc w:val="center"/>
        </w:pPr>
        <w:r>
          <w:fldChar w:fldCharType="begin"/>
        </w:r>
        <w:r>
          <w:instrText xml:space="preserve">PAGE   \* MERGEFORMAT</w:instrText>
        </w:r>
        <w:r>
          <w:fldChar w:fldCharType="separate"/>
        </w:r>
        <w:r>
          <w:rPr>
            <w:lang w:val="zh-CN"/>
          </w:rPr>
          <w:t>13</w:t>
        </w:r>
        <w:r>
          <w:fldChar w:fldCharType="end"/>
        </w:r>
      </w:p>
    </w:sdtContent>
  </w:sdt>
  <w:p w14:paraId="7716A335">
    <w:pPr>
      <w:pStyle w:val="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47468962"/>
    </w:sdtPr>
    <w:sdtContent>
      <w:p w14:paraId="6C8E00BB">
        <w:pPr>
          <w:pStyle w:val="7"/>
          <w:jc w:val="center"/>
        </w:pPr>
        <w:r>
          <w:fldChar w:fldCharType="begin"/>
        </w:r>
        <w:r>
          <w:instrText xml:space="preserve">PAGE   \* MERGEFORMAT</w:instrText>
        </w:r>
        <w:r>
          <w:fldChar w:fldCharType="separate"/>
        </w:r>
        <w:r>
          <w:rPr>
            <w:lang w:val="zh-CN"/>
          </w:rPr>
          <w:t>13</w:t>
        </w:r>
        <w:r>
          <w:fldChar w:fldCharType="end"/>
        </w:r>
      </w:p>
    </w:sdtContent>
  </w:sdt>
  <w:p w14:paraId="32E24FF9">
    <w:pPr>
      <w:pStyle w:val="7"/>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diOGM5NzlhN2JhOTc3OTljZTBmY2FhN2MzNTk3ODEifQ=="/>
  </w:docVars>
  <w:rsids>
    <w:rsidRoot w:val="FF6C4049"/>
    <w:rsid w:val="006F7242"/>
    <w:rsid w:val="007B168A"/>
    <w:rsid w:val="008B2CFE"/>
    <w:rsid w:val="00F26FF6"/>
    <w:rsid w:val="015D50E0"/>
    <w:rsid w:val="01610122"/>
    <w:rsid w:val="02510197"/>
    <w:rsid w:val="03EC461B"/>
    <w:rsid w:val="043E66D1"/>
    <w:rsid w:val="04A4232A"/>
    <w:rsid w:val="06926D57"/>
    <w:rsid w:val="06EA182C"/>
    <w:rsid w:val="071A5591"/>
    <w:rsid w:val="07397B77"/>
    <w:rsid w:val="086A3084"/>
    <w:rsid w:val="0AD007F3"/>
    <w:rsid w:val="0D082A6E"/>
    <w:rsid w:val="0E3C619F"/>
    <w:rsid w:val="0F6273CA"/>
    <w:rsid w:val="100F38EC"/>
    <w:rsid w:val="11170296"/>
    <w:rsid w:val="11641C95"/>
    <w:rsid w:val="12A41D58"/>
    <w:rsid w:val="12C66037"/>
    <w:rsid w:val="12C705FB"/>
    <w:rsid w:val="12CD1ABC"/>
    <w:rsid w:val="133B07D3"/>
    <w:rsid w:val="13471461"/>
    <w:rsid w:val="13B90F01"/>
    <w:rsid w:val="155E4C4D"/>
    <w:rsid w:val="169B3A7C"/>
    <w:rsid w:val="181066D2"/>
    <w:rsid w:val="1C671E73"/>
    <w:rsid w:val="1D322C47"/>
    <w:rsid w:val="1EA1074C"/>
    <w:rsid w:val="208E4638"/>
    <w:rsid w:val="22290DFD"/>
    <w:rsid w:val="22F865B5"/>
    <w:rsid w:val="23616034"/>
    <w:rsid w:val="23696C97"/>
    <w:rsid w:val="239443CD"/>
    <w:rsid w:val="24480FA2"/>
    <w:rsid w:val="24BD3695"/>
    <w:rsid w:val="24D42689"/>
    <w:rsid w:val="25227A45"/>
    <w:rsid w:val="26AC3A6A"/>
    <w:rsid w:val="26DB3710"/>
    <w:rsid w:val="2B9D7E25"/>
    <w:rsid w:val="2C7C7A3B"/>
    <w:rsid w:val="2D217FC5"/>
    <w:rsid w:val="2D6B6C1D"/>
    <w:rsid w:val="2F364819"/>
    <w:rsid w:val="2F7E38B9"/>
    <w:rsid w:val="2F897353"/>
    <w:rsid w:val="2FD63906"/>
    <w:rsid w:val="317E2440"/>
    <w:rsid w:val="359A71EC"/>
    <w:rsid w:val="37215DAE"/>
    <w:rsid w:val="38CA40DD"/>
    <w:rsid w:val="395F2B56"/>
    <w:rsid w:val="3989662F"/>
    <w:rsid w:val="3B482032"/>
    <w:rsid w:val="3BBA0580"/>
    <w:rsid w:val="3BECE841"/>
    <w:rsid w:val="3CDE204C"/>
    <w:rsid w:val="3D363C36"/>
    <w:rsid w:val="3E9C3F6D"/>
    <w:rsid w:val="3FF7797D"/>
    <w:rsid w:val="42F16CBA"/>
    <w:rsid w:val="46690BD8"/>
    <w:rsid w:val="46E22723"/>
    <w:rsid w:val="49F70BF1"/>
    <w:rsid w:val="4ADF60DF"/>
    <w:rsid w:val="4B4340EE"/>
    <w:rsid w:val="4BA547C3"/>
    <w:rsid w:val="4C230E60"/>
    <w:rsid w:val="4F694CC2"/>
    <w:rsid w:val="503D507A"/>
    <w:rsid w:val="50942AC9"/>
    <w:rsid w:val="50FD0400"/>
    <w:rsid w:val="510C0C3F"/>
    <w:rsid w:val="51FA74D0"/>
    <w:rsid w:val="52AA4A52"/>
    <w:rsid w:val="539D3AD1"/>
    <w:rsid w:val="547F1728"/>
    <w:rsid w:val="573A37A0"/>
    <w:rsid w:val="578B4632"/>
    <w:rsid w:val="594C6863"/>
    <w:rsid w:val="59943D66"/>
    <w:rsid w:val="59957788"/>
    <w:rsid w:val="59E051FD"/>
    <w:rsid w:val="59E15E56"/>
    <w:rsid w:val="59E6355E"/>
    <w:rsid w:val="5AD83820"/>
    <w:rsid w:val="5B821531"/>
    <w:rsid w:val="5BFF6039"/>
    <w:rsid w:val="5D76195E"/>
    <w:rsid w:val="5D76A616"/>
    <w:rsid w:val="5D7F20B9"/>
    <w:rsid w:val="5DAC7D0E"/>
    <w:rsid w:val="5F98B5AF"/>
    <w:rsid w:val="5FFE8511"/>
    <w:rsid w:val="5FFEACE2"/>
    <w:rsid w:val="609D5BF6"/>
    <w:rsid w:val="61073070"/>
    <w:rsid w:val="61B9080E"/>
    <w:rsid w:val="61DF3FED"/>
    <w:rsid w:val="62606CE8"/>
    <w:rsid w:val="62BA3A21"/>
    <w:rsid w:val="642A0B61"/>
    <w:rsid w:val="642B176B"/>
    <w:rsid w:val="643EE26D"/>
    <w:rsid w:val="64AF3043"/>
    <w:rsid w:val="65067DBA"/>
    <w:rsid w:val="656019A0"/>
    <w:rsid w:val="65E810C8"/>
    <w:rsid w:val="65F242EE"/>
    <w:rsid w:val="666D7E19"/>
    <w:rsid w:val="68376930"/>
    <w:rsid w:val="68F91E38"/>
    <w:rsid w:val="6B3158B9"/>
    <w:rsid w:val="6BA02A3F"/>
    <w:rsid w:val="6C105349"/>
    <w:rsid w:val="6C1E5A53"/>
    <w:rsid w:val="6F5C41AC"/>
    <w:rsid w:val="6FAF6C78"/>
    <w:rsid w:val="6FF05449"/>
    <w:rsid w:val="70F80C27"/>
    <w:rsid w:val="716167CC"/>
    <w:rsid w:val="718A7AD1"/>
    <w:rsid w:val="72A44BC2"/>
    <w:rsid w:val="7317C656"/>
    <w:rsid w:val="734ED73F"/>
    <w:rsid w:val="73C82B32"/>
    <w:rsid w:val="73F94DAE"/>
    <w:rsid w:val="74220495"/>
    <w:rsid w:val="74343FFF"/>
    <w:rsid w:val="747D1B6F"/>
    <w:rsid w:val="749E5641"/>
    <w:rsid w:val="76271066"/>
    <w:rsid w:val="76885262"/>
    <w:rsid w:val="77FD8BE9"/>
    <w:rsid w:val="78000AED"/>
    <w:rsid w:val="78036054"/>
    <w:rsid w:val="79A9BD3F"/>
    <w:rsid w:val="7AC5270E"/>
    <w:rsid w:val="7B776F12"/>
    <w:rsid w:val="7BFFFDD0"/>
    <w:rsid w:val="7C336E5F"/>
    <w:rsid w:val="7C8D4919"/>
    <w:rsid w:val="7CB244A3"/>
    <w:rsid w:val="7D7A5F86"/>
    <w:rsid w:val="7E2E692B"/>
    <w:rsid w:val="7E4B683A"/>
    <w:rsid w:val="7E5E656D"/>
    <w:rsid w:val="7E8F2BCB"/>
    <w:rsid w:val="7F37BB4E"/>
    <w:rsid w:val="7FEF918E"/>
    <w:rsid w:val="7FF4FB6F"/>
    <w:rsid w:val="7FF7FF27"/>
    <w:rsid w:val="7FFDF714"/>
    <w:rsid w:val="7FFE136B"/>
    <w:rsid w:val="AF3FCD8C"/>
    <w:rsid w:val="B9FA2A43"/>
    <w:rsid w:val="BF7BA1E4"/>
    <w:rsid w:val="BFDF04FA"/>
    <w:rsid w:val="BFE227EF"/>
    <w:rsid w:val="CF2A1ABD"/>
    <w:rsid w:val="DA7D3CD9"/>
    <w:rsid w:val="DBDC0ADA"/>
    <w:rsid w:val="DEDE2B06"/>
    <w:rsid w:val="EBFA31C2"/>
    <w:rsid w:val="F3F4A11B"/>
    <w:rsid w:val="F9FD7907"/>
    <w:rsid w:val="FAEF933D"/>
    <w:rsid w:val="FB3A4A6A"/>
    <w:rsid w:val="FF6C4049"/>
    <w:rsid w:val="FF78F63F"/>
    <w:rsid w:val="FF8D20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9"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3"/>
    <w:basedOn w:val="1"/>
    <w:next w:val="1"/>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character" w:default="1" w:styleId="15">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link w:val="22"/>
    <w:qFormat/>
    <w:uiPriority w:val="0"/>
    <w:pPr>
      <w:jc w:val="left"/>
    </w:pPr>
  </w:style>
  <w:style w:type="paragraph" w:styleId="4">
    <w:name w:val="Body Text"/>
    <w:basedOn w:val="1"/>
    <w:qFormat/>
    <w:uiPriority w:val="0"/>
    <w:pPr>
      <w:spacing w:after="120"/>
    </w:pPr>
  </w:style>
  <w:style w:type="paragraph" w:styleId="5">
    <w:name w:val="Body Text Indent"/>
    <w:basedOn w:val="1"/>
    <w:qFormat/>
    <w:uiPriority w:val="0"/>
    <w:pPr>
      <w:spacing w:after="120"/>
      <w:ind w:left="420" w:leftChars="200"/>
    </w:pPr>
    <w:rPr>
      <w:rFonts w:ascii="Calibri" w:hAnsi="Calibri"/>
    </w:rPr>
  </w:style>
  <w:style w:type="paragraph" w:styleId="6">
    <w:name w:val="Balloon Text"/>
    <w:basedOn w:val="1"/>
    <w:link w:val="20"/>
    <w:qFormat/>
    <w:uiPriority w:val="0"/>
    <w:rPr>
      <w:sz w:val="18"/>
      <w:szCs w:val="18"/>
    </w:rPr>
  </w:style>
  <w:style w:type="paragraph" w:styleId="7">
    <w:name w:val="footer"/>
    <w:basedOn w:val="1"/>
    <w:unhideWhenUsed/>
    <w:qFormat/>
    <w:uiPriority w:val="99"/>
    <w:pPr>
      <w:tabs>
        <w:tab w:val="center" w:pos="4153"/>
        <w:tab w:val="right" w:pos="8306"/>
      </w:tabs>
      <w:snapToGrid w:val="0"/>
      <w:jc w:val="left"/>
    </w:pPr>
    <w:rPr>
      <w:rFonts w:ascii="Calibri" w:hAnsi="Calibri"/>
      <w:sz w:val="18"/>
      <w:szCs w:val="18"/>
    </w:rPr>
  </w:style>
  <w:style w:type="paragraph" w:styleId="8">
    <w:name w:val="header"/>
    <w:basedOn w:val="1"/>
    <w:link w:val="21"/>
    <w:qFormat/>
    <w:uiPriority w:val="0"/>
    <w:pPr>
      <w:pBdr>
        <w:bottom w:val="single" w:color="auto" w:sz="6" w:space="1"/>
      </w:pBdr>
      <w:tabs>
        <w:tab w:val="center" w:pos="4153"/>
        <w:tab w:val="right" w:pos="8306"/>
      </w:tabs>
      <w:snapToGrid w:val="0"/>
      <w:jc w:val="center"/>
    </w:pPr>
    <w:rPr>
      <w:sz w:val="18"/>
      <w:szCs w:val="18"/>
    </w:rPr>
  </w:style>
  <w:style w:type="paragraph" w:styleId="9">
    <w:name w:val="Normal (Web)"/>
    <w:basedOn w:val="1"/>
    <w:qFormat/>
    <w:uiPriority w:val="0"/>
    <w:pPr>
      <w:spacing w:before="0" w:beforeAutospacing="1" w:after="0" w:afterAutospacing="1"/>
      <w:ind w:left="0" w:right="0"/>
      <w:jc w:val="left"/>
    </w:pPr>
    <w:rPr>
      <w:kern w:val="0"/>
      <w:sz w:val="24"/>
      <w:lang w:val="en-US" w:eastAsia="zh-CN" w:bidi="ar"/>
    </w:rPr>
  </w:style>
  <w:style w:type="paragraph" w:styleId="10">
    <w:name w:val="Title"/>
    <w:basedOn w:val="1"/>
    <w:next w:val="1"/>
    <w:qFormat/>
    <w:uiPriority w:val="10"/>
    <w:pPr>
      <w:widowControl/>
      <w:spacing w:before="240" w:after="60"/>
      <w:jc w:val="center"/>
      <w:outlineLvl w:val="0"/>
    </w:pPr>
    <w:rPr>
      <w:rFonts w:asciiTheme="majorHAnsi" w:hAnsiTheme="majorHAnsi" w:eastAsiaTheme="majorEastAsia"/>
      <w:b/>
      <w:bCs/>
      <w:kern w:val="28"/>
      <w:sz w:val="32"/>
      <w:szCs w:val="32"/>
    </w:rPr>
  </w:style>
  <w:style w:type="paragraph" w:styleId="11">
    <w:name w:val="annotation subject"/>
    <w:basedOn w:val="3"/>
    <w:next w:val="3"/>
    <w:link w:val="23"/>
    <w:qFormat/>
    <w:uiPriority w:val="0"/>
    <w:rPr>
      <w:b/>
      <w:bCs/>
    </w:rPr>
  </w:style>
  <w:style w:type="paragraph" w:styleId="12">
    <w:name w:val="Body Text First Indent"/>
    <w:basedOn w:val="4"/>
    <w:qFormat/>
    <w:uiPriority w:val="0"/>
    <w:pPr>
      <w:spacing w:after="0"/>
      <w:ind w:firstLine="200" w:firstLineChars="200"/>
    </w:pPr>
  </w:style>
  <w:style w:type="paragraph" w:styleId="13">
    <w:name w:val="Body Text First Indent 2"/>
    <w:basedOn w:val="5"/>
    <w:qFormat/>
    <w:uiPriority w:val="0"/>
    <w:pPr>
      <w:ind w:firstLine="420" w:firstLineChars="200"/>
    </w:pPr>
  </w:style>
  <w:style w:type="character" w:styleId="16">
    <w:name w:val="Strong"/>
    <w:basedOn w:val="15"/>
    <w:qFormat/>
    <w:uiPriority w:val="0"/>
    <w:rPr>
      <w:b/>
      <w:bCs/>
    </w:rPr>
  </w:style>
  <w:style w:type="character" w:styleId="17">
    <w:name w:val="annotation reference"/>
    <w:basedOn w:val="15"/>
    <w:qFormat/>
    <w:uiPriority w:val="0"/>
    <w:rPr>
      <w:sz w:val="21"/>
      <w:szCs w:val="21"/>
    </w:rPr>
  </w:style>
  <w:style w:type="character" w:customStyle="1" w:styleId="18">
    <w:name w:val="fontstyle01"/>
    <w:qFormat/>
    <w:uiPriority w:val="0"/>
    <w:rPr>
      <w:rFonts w:ascii="仿宋_GB2312" w:hAnsi="仿宋_GB2312" w:eastAsia="仿宋_GB2312" w:cs="仿宋_GB2312"/>
      <w:color w:val="000000"/>
      <w:sz w:val="32"/>
      <w:szCs w:val="32"/>
    </w:rPr>
  </w:style>
  <w:style w:type="paragraph" w:customStyle="1" w:styleId="19">
    <w:name w:val="闻政-正文段落文字"/>
    <w:basedOn w:val="1"/>
    <w:qFormat/>
    <w:uiPriority w:val="3"/>
    <w:pPr>
      <w:spacing w:line="500" w:lineRule="exact"/>
      <w:ind w:firstLine="200"/>
    </w:pPr>
    <w:rPr>
      <w:kern w:val="0"/>
      <w:szCs w:val="28"/>
    </w:rPr>
  </w:style>
  <w:style w:type="character" w:customStyle="1" w:styleId="20">
    <w:name w:val="批注框文本 字符"/>
    <w:basedOn w:val="15"/>
    <w:link w:val="6"/>
    <w:qFormat/>
    <w:uiPriority w:val="0"/>
    <w:rPr>
      <w:rFonts w:ascii="Times New Roman" w:hAnsi="Times New Roman" w:eastAsia="宋体" w:cs="Times New Roman"/>
      <w:kern w:val="2"/>
      <w:sz w:val="18"/>
      <w:szCs w:val="18"/>
    </w:rPr>
  </w:style>
  <w:style w:type="character" w:customStyle="1" w:styleId="21">
    <w:name w:val="页眉 字符"/>
    <w:basedOn w:val="15"/>
    <w:link w:val="8"/>
    <w:qFormat/>
    <w:uiPriority w:val="0"/>
    <w:rPr>
      <w:rFonts w:ascii="Times New Roman" w:hAnsi="Times New Roman" w:eastAsia="宋体" w:cs="Times New Roman"/>
      <w:kern w:val="2"/>
      <w:sz w:val="18"/>
      <w:szCs w:val="18"/>
    </w:rPr>
  </w:style>
  <w:style w:type="character" w:customStyle="1" w:styleId="22">
    <w:name w:val="批注文字 字符"/>
    <w:basedOn w:val="15"/>
    <w:link w:val="3"/>
    <w:qFormat/>
    <w:uiPriority w:val="0"/>
    <w:rPr>
      <w:rFonts w:ascii="Times New Roman" w:hAnsi="Times New Roman" w:eastAsia="宋体" w:cs="Times New Roman"/>
      <w:kern w:val="2"/>
      <w:sz w:val="21"/>
      <w:szCs w:val="24"/>
    </w:rPr>
  </w:style>
  <w:style w:type="character" w:customStyle="1" w:styleId="23">
    <w:name w:val="批注主题 字符"/>
    <w:basedOn w:val="22"/>
    <w:link w:val="11"/>
    <w:qFormat/>
    <w:uiPriority w:val="0"/>
    <w:rPr>
      <w:rFonts w:ascii="Times New Roman" w:hAnsi="Times New Roman" w:eastAsia="宋体" w:cs="Times New Roman"/>
      <w:b/>
      <w:bCs/>
      <w:kern w:val="2"/>
      <w:sz w:val="21"/>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29</Pages>
  <Words>1011</Words>
  <Characters>1216</Characters>
  <Lines>58</Lines>
  <Paragraphs>16</Paragraphs>
  <TotalTime>2</TotalTime>
  <ScaleCrop>false</ScaleCrop>
  <LinksUpToDate>false</LinksUpToDate>
  <CharactersWithSpaces>1216</CharactersWithSpaces>
  <Application>WPS Office_12.8.2.20324_F1E327BC-269C-435d-A152-05C5408002CA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2023-03-08T13:13:00Z</dcterms:created>
  <dc:creator>审核人</dc:creator>
  <cp:lastModifiedBy>Administrator</cp:lastModifiedBy>
  <dcterms:modified xsi:type="dcterms:W3CDTF">2025-04-30T07:41:38Z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2052-12.8.2.20324</vt:lpwstr>
  </property>
  <property fmtid="{D5CDD505-2E9C-101B-9397-08002B2CF9AE}" pid="3" name="ICV">
    <vt:lpwstr>EFC02BC35BFC430A8470348B909BABAC_13</vt:lpwstr>
  </property>
  <property fmtid="{D5CDD505-2E9C-101B-9397-08002B2CF9AE}" pid="4" name="KSOTemplateDocerSaveRecord">
    <vt:lpwstr>eyJoZGlkIjoiZGU2OWVkNjVhNTc2NTNjNjZhOGJlZWQ2NTc3Njc5NGQiLCJ1c2VySWQiOiIzODQzMzMyOTcifQ==</vt:lpwstr>
  </property>
</Properties>
</file>